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2DD2" w14:textId="304C3C6F" w:rsidR="003938B2" w:rsidRDefault="0041260D" w:rsidP="00EA5DDC">
      <w:pPr>
        <w:rPr>
          <w:rFonts w:ascii="Arial" w:hAnsi="Arial" w:cs="Arial"/>
          <w:color w:val="808080"/>
          <w:sz w:val="40"/>
          <w:szCs w:val="40"/>
        </w:rPr>
      </w:pPr>
      <w:r>
        <w:rPr>
          <w:rFonts w:ascii="Arial" w:hAnsi="Arial" w:cs="Arial"/>
          <w:noProof/>
          <w:color w:val="808080"/>
          <w:sz w:val="40"/>
          <w:szCs w:val="40"/>
          <w:lang w:val="en-GB" w:eastAsia="en-GB" w:bidi="t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4207F" wp14:editId="1A6C9503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6515100" cy="685165"/>
                <wp:effectExtent l="0" t="0" r="4445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94815" w14:textId="77777777" w:rsidR="00BE4180" w:rsidRPr="0080672D" w:rsidRDefault="00BE4180" w:rsidP="00943F3C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80672D"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  <w:sz w:val="32"/>
                                <w:szCs w:val="32"/>
                              </w:rPr>
                              <w:t>Position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4207F" id="Rectangle 2" o:spid="_x0000_s1026" style="position:absolute;margin-left:-9pt;margin-top:-45pt;width:513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" filled="f" fillcolor="#bbe0e3" stroked="f">
                <v:textbox>
                  <w:txbxContent>
                    <w:p w14:paraId="5AB94815" w14:textId="77777777" w:rsidR="00BE4180" w:rsidRPr="0080672D" w:rsidRDefault="00BE4180" w:rsidP="00943F3C">
                      <w:pPr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Arial" w:hAnsi="Arial" w:cs="Arial"/>
                          <w:i/>
                          <w:iCs/>
                          <w:color w:val="008000"/>
                          <w:sz w:val="32"/>
                          <w:szCs w:val="32"/>
                        </w:rPr>
                      </w:pPr>
                      <w:r w:rsidRPr="0080672D">
                        <w:rPr>
                          <w:rFonts w:ascii="Arial" w:hAnsi="Arial" w:cs="Arial"/>
                          <w:i/>
                          <w:iCs/>
                          <w:color w:val="008000"/>
                          <w:sz w:val="32"/>
                          <w:szCs w:val="32"/>
                        </w:rPr>
                        <w:t>Position Description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1" behindDoc="1" locked="0" layoutInCell="1" allowOverlap="1" wp14:anchorId="068F808E" wp14:editId="48F00DDD">
            <wp:simplePos x="0" y="0"/>
            <wp:positionH relativeFrom="column">
              <wp:posOffset>3689350</wp:posOffset>
            </wp:positionH>
            <wp:positionV relativeFrom="paragraph">
              <wp:posOffset>-801370</wp:posOffset>
            </wp:positionV>
            <wp:extent cx="3220720" cy="1498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849">
        <w:rPr>
          <w:rFonts w:ascii="Arial" w:hAnsi="Arial" w:cs="Arial"/>
          <w:noProof/>
          <w:color w:val="808080"/>
          <w:sz w:val="40"/>
          <w:szCs w:val="40"/>
          <w:lang w:val="en-GB" w:eastAsia="en-GB" w:bidi="te"/>
        </w:rPr>
        <w:t>Client Experience</w:t>
      </w:r>
      <w:r w:rsidR="00C33755">
        <w:rPr>
          <w:rFonts w:ascii="Arial" w:hAnsi="Arial" w:cs="Arial"/>
          <w:color w:val="808080"/>
          <w:sz w:val="40"/>
          <w:szCs w:val="40"/>
          <w:lang w:val="en-GB"/>
        </w:rPr>
        <w:t xml:space="preserve"> Manager</w:t>
      </w:r>
    </w:p>
    <w:p w14:paraId="192990D5" w14:textId="77777777" w:rsidR="00276B2D" w:rsidRPr="0081130E" w:rsidRDefault="00276B2D" w:rsidP="00EA5DDC">
      <w:pPr>
        <w:rPr>
          <w:rFonts w:ascii="Arial" w:hAnsi="Arial" w:cs="Arial"/>
          <w:b/>
          <w:sz w:val="22"/>
          <w:szCs w:val="22"/>
        </w:rPr>
      </w:pPr>
    </w:p>
    <w:p w14:paraId="6AA5F00E" w14:textId="0677F7F9" w:rsidR="00AC3AEB" w:rsidRPr="00C14713" w:rsidRDefault="0041260D" w:rsidP="00EA5DDC">
      <w:pPr>
        <w:tabs>
          <w:tab w:val="left" w:pos="2880"/>
        </w:tabs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 w:bidi="te"/>
        </w:rPr>
        <w:drawing>
          <wp:anchor distT="0" distB="0" distL="114300" distR="114300" simplePos="0" relativeHeight="251658242" behindDoc="1" locked="0" layoutInCell="1" allowOverlap="1" wp14:anchorId="4A4387F3" wp14:editId="270F0678">
            <wp:simplePos x="0" y="0"/>
            <wp:positionH relativeFrom="column">
              <wp:posOffset>5177790</wp:posOffset>
            </wp:positionH>
            <wp:positionV relativeFrom="paragraph">
              <wp:posOffset>32385</wp:posOffset>
            </wp:positionV>
            <wp:extent cx="1391920" cy="7747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3" t="44977" b="29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AEB" w:rsidRPr="0081130E">
        <w:rPr>
          <w:rFonts w:ascii="Arial" w:hAnsi="Arial" w:cs="Arial"/>
          <w:bCs/>
          <w:i/>
          <w:iCs/>
          <w:color w:val="008000"/>
          <w:sz w:val="20"/>
          <w:szCs w:val="20"/>
        </w:rPr>
        <w:t>Location:</w:t>
      </w:r>
      <w:r w:rsidR="00AC3AEB" w:rsidRPr="0081130E">
        <w:rPr>
          <w:rFonts w:ascii="Arial" w:hAnsi="Arial" w:cs="Arial"/>
          <w:bCs/>
          <w:sz w:val="20"/>
          <w:szCs w:val="20"/>
        </w:rPr>
        <w:tab/>
      </w:r>
      <w:r w:rsidR="0048342C" w:rsidRPr="00C14713">
        <w:rPr>
          <w:rFonts w:ascii="Arial" w:hAnsi="Arial" w:cs="Arial"/>
          <w:bCs/>
          <w:color w:val="808080"/>
          <w:sz w:val="20"/>
          <w:szCs w:val="20"/>
        </w:rPr>
        <w:t>Wellington</w:t>
      </w:r>
      <w:r w:rsidR="00311FF6">
        <w:rPr>
          <w:rFonts w:ascii="Arial" w:hAnsi="Arial" w:cs="Arial"/>
          <w:bCs/>
          <w:color w:val="808080"/>
          <w:sz w:val="20"/>
          <w:szCs w:val="20"/>
        </w:rPr>
        <w:t xml:space="preserve"> (minimum two days a week)</w:t>
      </w:r>
    </w:p>
    <w:p w14:paraId="7AF72E29" w14:textId="77777777" w:rsidR="00AC3AEB" w:rsidRPr="00C14713" w:rsidRDefault="00AC3AEB" w:rsidP="00EA5DDC">
      <w:pPr>
        <w:tabs>
          <w:tab w:val="left" w:pos="2880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C14713">
        <w:rPr>
          <w:rFonts w:ascii="Arial" w:hAnsi="Arial" w:cs="Arial"/>
          <w:bCs/>
          <w:i/>
          <w:iCs/>
          <w:color w:val="008000"/>
          <w:sz w:val="20"/>
          <w:szCs w:val="20"/>
        </w:rPr>
        <w:t>Reporting to:</w:t>
      </w:r>
      <w:r w:rsidR="002F29A5" w:rsidRPr="00C14713">
        <w:rPr>
          <w:rFonts w:ascii="Arial" w:hAnsi="Arial" w:cs="Arial"/>
          <w:bCs/>
          <w:sz w:val="20"/>
          <w:szCs w:val="20"/>
        </w:rPr>
        <w:tab/>
      </w:r>
      <w:r w:rsidR="00BE4180" w:rsidRPr="00C14713">
        <w:rPr>
          <w:rFonts w:ascii="Arial" w:hAnsi="Arial" w:cs="Arial"/>
          <w:bCs/>
          <w:color w:val="808080"/>
          <w:sz w:val="20"/>
          <w:szCs w:val="20"/>
        </w:rPr>
        <w:t xml:space="preserve">Head of </w:t>
      </w:r>
      <w:r w:rsidR="00211D5D">
        <w:rPr>
          <w:rFonts w:ascii="Arial" w:hAnsi="Arial" w:cs="Arial"/>
          <w:bCs/>
          <w:color w:val="808080"/>
          <w:sz w:val="20"/>
          <w:szCs w:val="20"/>
        </w:rPr>
        <w:t xml:space="preserve">Client </w:t>
      </w:r>
      <w:r w:rsidR="001F760D">
        <w:rPr>
          <w:rFonts w:ascii="Arial" w:hAnsi="Arial" w:cs="Arial"/>
          <w:bCs/>
          <w:color w:val="808080"/>
          <w:sz w:val="20"/>
          <w:szCs w:val="20"/>
        </w:rPr>
        <w:t>Strategy &amp; Advice Services</w:t>
      </w:r>
    </w:p>
    <w:p w14:paraId="77B2DC5E" w14:textId="77777777" w:rsidR="00677159" w:rsidRPr="0081130E" w:rsidRDefault="000E363D" w:rsidP="00EA5DDC">
      <w:pPr>
        <w:tabs>
          <w:tab w:val="left" w:pos="2880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C14713">
        <w:rPr>
          <w:rFonts w:ascii="Arial" w:hAnsi="Arial" w:cs="Arial"/>
          <w:bCs/>
          <w:i/>
          <w:iCs/>
          <w:color w:val="008000"/>
          <w:sz w:val="20"/>
          <w:szCs w:val="20"/>
        </w:rPr>
        <w:t>Business Unit:</w:t>
      </w:r>
      <w:r w:rsidRPr="00C14713">
        <w:rPr>
          <w:rFonts w:ascii="Arial" w:hAnsi="Arial" w:cs="Arial"/>
          <w:bCs/>
          <w:sz w:val="20"/>
          <w:szCs w:val="20"/>
        </w:rPr>
        <w:tab/>
      </w:r>
      <w:r w:rsidR="00211D5D" w:rsidRPr="00EA5DDC">
        <w:rPr>
          <w:rFonts w:ascii="Arial" w:hAnsi="Arial" w:cs="Arial"/>
          <w:bCs/>
          <w:color w:val="808080"/>
          <w:sz w:val="20"/>
          <w:szCs w:val="20"/>
        </w:rPr>
        <w:t>Client Propositions</w:t>
      </w:r>
    </w:p>
    <w:p w14:paraId="23BCFD8F" w14:textId="658A7060" w:rsidR="0083106B" w:rsidRPr="0081130E" w:rsidRDefault="0083106B" w:rsidP="00EA5DDC">
      <w:pPr>
        <w:tabs>
          <w:tab w:val="left" w:pos="2880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81130E">
        <w:rPr>
          <w:rFonts w:ascii="Arial" w:hAnsi="Arial" w:cs="Arial"/>
          <w:bCs/>
          <w:i/>
          <w:iCs/>
          <w:color w:val="008000"/>
          <w:sz w:val="20"/>
          <w:szCs w:val="20"/>
        </w:rPr>
        <w:t>Direct Reports:</w:t>
      </w:r>
      <w:r w:rsidRPr="0081130E">
        <w:rPr>
          <w:rFonts w:ascii="Arial" w:hAnsi="Arial" w:cs="Arial"/>
          <w:bCs/>
          <w:sz w:val="20"/>
          <w:szCs w:val="20"/>
        </w:rPr>
        <w:tab/>
      </w:r>
      <w:r w:rsidR="00830213">
        <w:rPr>
          <w:rFonts w:ascii="Arial" w:hAnsi="Arial" w:cs="Arial"/>
          <w:bCs/>
          <w:color w:val="808080"/>
          <w:sz w:val="20"/>
          <w:szCs w:val="20"/>
        </w:rPr>
        <w:t>5</w:t>
      </w:r>
    </w:p>
    <w:p w14:paraId="245810B9" w14:textId="6A28B5C8" w:rsidR="008F28B1" w:rsidRPr="0081130E" w:rsidRDefault="00AC3AEB" w:rsidP="00EA5DDC">
      <w:pPr>
        <w:tabs>
          <w:tab w:val="left" w:pos="2880"/>
        </w:tabs>
        <w:spacing w:before="120"/>
        <w:rPr>
          <w:rFonts w:ascii="Arial" w:hAnsi="Arial" w:cs="Arial"/>
          <w:sz w:val="20"/>
          <w:szCs w:val="20"/>
        </w:rPr>
      </w:pPr>
      <w:r w:rsidRPr="0081130E">
        <w:rPr>
          <w:rFonts w:ascii="Arial" w:hAnsi="Arial" w:cs="Arial"/>
          <w:bCs/>
          <w:i/>
          <w:iCs/>
          <w:color w:val="008000"/>
          <w:sz w:val="20"/>
          <w:szCs w:val="20"/>
        </w:rPr>
        <w:t>Date</w:t>
      </w:r>
      <w:r w:rsidR="000B5881">
        <w:rPr>
          <w:rFonts w:ascii="Arial" w:hAnsi="Arial" w:cs="Arial"/>
          <w:bCs/>
          <w:i/>
          <w:iCs/>
          <w:color w:val="008000"/>
          <w:sz w:val="20"/>
          <w:szCs w:val="20"/>
        </w:rPr>
        <w:t xml:space="preserve"> Last Reviewed</w:t>
      </w:r>
      <w:r w:rsidRPr="0081130E">
        <w:rPr>
          <w:rFonts w:ascii="Arial" w:hAnsi="Arial" w:cs="Arial"/>
          <w:bCs/>
          <w:i/>
          <w:iCs/>
          <w:color w:val="008000"/>
          <w:sz w:val="20"/>
          <w:szCs w:val="20"/>
        </w:rPr>
        <w:t>:</w:t>
      </w:r>
      <w:r w:rsidRPr="0081130E">
        <w:rPr>
          <w:rFonts w:ascii="Arial" w:hAnsi="Arial" w:cs="Arial"/>
          <w:sz w:val="20"/>
          <w:szCs w:val="20"/>
        </w:rPr>
        <w:tab/>
      </w:r>
      <w:r w:rsidR="00A839C3">
        <w:rPr>
          <w:rFonts w:ascii="Arial" w:hAnsi="Arial" w:cs="Arial"/>
          <w:color w:val="808080"/>
          <w:sz w:val="20"/>
          <w:szCs w:val="20"/>
        </w:rPr>
        <w:t>July 2024</w:t>
      </w:r>
      <w:r w:rsidR="00000000">
        <w:rPr>
          <w:rFonts w:ascii="Arial" w:hAnsi="Arial" w:cs="Arial"/>
          <w:sz w:val="20"/>
          <w:szCs w:val="20"/>
        </w:rPr>
        <w:pict w14:anchorId="1BC3503E">
          <v:rect id="_x0000_i1025" style="width:470.2pt;height:1pt" o:hrstd="t" o:hrnoshade="t" o:hr="t" fillcolor="silver" stroked="f"/>
        </w:pict>
      </w:r>
    </w:p>
    <w:p w14:paraId="61863E68" w14:textId="77777777" w:rsidR="00AC3AEB" w:rsidRPr="0016270D" w:rsidRDefault="0083106B" w:rsidP="00EA5DDC">
      <w:pPr>
        <w:pStyle w:val="Heading3"/>
        <w:spacing w:before="120"/>
        <w:rPr>
          <w:i/>
          <w:color w:val="00703C"/>
          <w:sz w:val="20"/>
          <w:szCs w:val="20"/>
        </w:rPr>
      </w:pPr>
      <w:r w:rsidRPr="0016270D">
        <w:rPr>
          <w:i/>
          <w:color w:val="00703C"/>
          <w:sz w:val="20"/>
          <w:szCs w:val="20"/>
        </w:rPr>
        <w:t>About FMG</w:t>
      </w:r>
    </w:p>
    <w:p w14:paraId="7614F445" w14:textId="77777777" w:rsidR="000B5881" w:rsidRPr="0016270D" w:rsidRDefault="000B5881" w:rsidP="00EA5DDC">
      <w:pPr>
        <w:spacing w:before="120" w:after="120"/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</w:pPr>
      <w:r w:rsidRPr="0016270D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Formed by farmers for farmers over a century ago, FMG is New Zealand’s leading rural insurer providing advice </w:t>
      </w:r>
      <w:r w:rsidR="004B0C3F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services </w:t>
      </w:r>
      <w:r w:rsidRPr="0016270D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and insurance solutions for farmers, growers, commercial businesses, the lifestyle sector and domestic clients.</w:t>
      </w:r>
    </w:p>
    <w:p w14:paraId="1CEBE8C4" w14:textId="77777777" w:rsidR="000B5881" w:rsidRPr="0016270D" w:rsidRDefault="000B5881" w:rsidP="00EA5DDC">
      <w:pPr>
        <w:spacing w:before="120" w:after="120"/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</w:pPr>
      <w:r w:rsidRPr="0016270D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We’re proudly 100% New Zealand owned and </w:t>
      </w:r>
      <w:proofErr w:type="gramStart"/>
      <w:r w:rsidRPr="0016270D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operated</w:t>
      </w:r>
      <w:proofErr w:type="gramEnd"/>
      <w:r w:rsidRPr="0016270D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 and our focus is on helping our clients to achieve their goals.  As a mutual organisation, we’re all about giving rural New Zealanders a better deal, and part of this involves reinvesting all profits back into the business to keep premiums low and ensure the future sustainability of the organisation.</w:t>
      </w:r>
    </w:p>
    <w:p w14:paraId="214D57AF" w14:textId="77777777" w:rsidR="008F28B1" w:rsidRPr="0016270D" w:rsidRDefault="00000000" w:rsidP="00EA5DDC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pict w14:anchorId="2EEA21A2">
          <v:rect id="_x0000_i1026" style="width:470.2pt;height:1pt" o:hrstd="t" o:hrnoshade="t" o:hr="t" fillcolor="silver" stroked="f"/>
        </w:pict>
      </w:r>
    </w:p>
    <w:p w14:paraId="02F98189" w14:textId="77777777" w:rsidR="00C74826" w:rsidRPr="001B66F5" w:rsidRDefault="00C74826" w:rsidP="00C74826">
      <w:pPr>
        <w:pStyle w:val="Heading3"/>
        <w:spacing w:before="120"/>
        <w:rPr>
          <w:i/>
          <w:iCs/>
          <w:color w:val="00703C"/>
          <w:sz w:val="28"/>
          <w:szCs w:val="28"/>
          <w:lang w:val="en-NZ"/>
        </w:rPr>
      </w:pPr>
      <w:r w:rsidRPr="001B66F5">
        <w:rPr>
          <w:i/>
          <w:iCs/>
          <w:color w:val="00703C"/>
          <w:sz w:val="28"/>
          <w:szCs w:val="28"/>
          <w:lang w:val="en-NZ"/>
        </w:rPr>
        <w:t>FMG’s Values</w:t>
      </w:r>
    </w:p>
    <w:p w14:paraId="38EB08E3" w14:textId="77777777" w:rsidR="00C74826" w:rsidRPr="001B66F5" w:rsidRDefault="00C74826" w:rsidP="00C74826">
      <w:pPr>
        <w:tabs>
          <w:tab w:val="left" w:pos="1800"/>
        </w:tabs>
        <w:spacing w:before="120" w:after="120"/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 w:rsidRPr="001B66F5">
        <w:rPr>
          <w:rFonts w:ascii="Arial" w:hAnsi="Arial" w:cs="Arial"/>
          <w:color w:val="000000"/>
          <w:sz w:val="20"/>
          <w:szCs w:val="20"/>
          <w:lang w:val="en-NZ"/>
        </w:rPr>
        <w:t xml:space="preserve">The FMG brand represents promises about what </w:t>
      </w:r>
      <w:r>
        <w:rPr>
          <w:rFonts w:ascii="Arial" w:hAnsi="Arial" w:cs="Arial"/>
          <w:color w:val="000000"/>
          <w:sz w:val="20"/>
          <w:szCs w:val="20"/>
          <w:lang w:val="en-NZ"/>
        </w:rPr>
        <w:t xml:space="preserve">clients </w:t>
      </w:r>
      <w:r w:rsidRPr="001B66F5">
        <w:rPr>
          <w:rFonts w:ascii="Arial" w:hAnsi="Arial" w:cs="Arial"/>
          <w:color w:val="000000"/>
          <w:sz w:val="20"/>
          <w:szCs w:val="20"/>
          <w:lang w:val="en-NZ"/>
        </w:rPr>
        <w:t xml:space="preserve">can expect from us and each of us is responsible for delivering on these promises.  Living our company values means we deliver the best brand experience for our </w:t>
      </w:r>
      <w:r>
        <w:rPr>
          <w:rFonts w:ascii="Arial" w:hAnsi="Arial" w:cs="Arial"/>
          <w:color w:val="000000"/>
          <w:sz w:val="20"/>
          <w:szCs w:val="20"/>
          <w:lang w:val="en-NZ"/>
        </w:rPr>
        <w:t>clients</w:t>
      </w:r>
      <w:r w:rsidRPr="001B66F5">
        <w:rPr>
          <w:rFonts w:ascii="Arial" w:hAnsi="Arial" w:cs="Arial"/>
          <w:color w:val="000000"/>
          <w:sz w:val="20"/>
          <w:szCs w:val="20"/>
          <w:lang w:val="en-NZ"/>
        </w:rPr>
        <w:t>.  Our company values are: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716"/>
      </w:tblGrid>
      <w:tr w:rsidR="00C74826" w:rsidRPr="00064402" w14:paraId="6CF92B8F" w14:textId="77777777" w:rsidTr="00740400">
        <w:tc>
          <w:tcPr>
            <w:tcW w:w="4810" w:type="dxa"/>
          </w:tcPr>
          <w:p w14:paraId="2BC0B513" w14:textId="77777777" w:rsidR="00C74826" w:rsidRPr="00266EB7" w:rsidRDefault="00C74826" w:rsidP="00740400">
            <w:pPr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  <w:lang w:val="en-NZ"/>
              </w:rPr>
            </w:pPr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Do what's right - 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Whāia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ara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tika</w:t>
            </w:r>
          </w:p>
        </w:tc>
        <w:tc>
          <w:tcPr>
            <w:tcW w:w="4810" w:type="dxa"/>
          </w:tcPr>
          <w:p w14:paraId="1AEF64C2" w14:textId="77777777" w:rsidR="00C74826" w:rsidRPr="00266EB7" w:rsidRDefault="00C74826" w:rsidP="00740400">
            <w:pPr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  <w:lang w:val="en-NZ"/>
              </w:rPr>
            </w:pPr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Make it happen - 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Whakatutukitia</w:t>
            </w:r>
            <w:proofErr w:type="spellEnd"/>
          </w:p>
        </w:tc>
      </w:tr>
      <w:tr w:rsidR="00C74826" w:rsidRPr="00064402" w14:paraId="6E7DDCE2" w14:textId="77777777" w:rsidTr="00740400">
        <w:trPr>
          <w:trHeight w:val="60"/>
        </w:trPr>
        <w:tc>
          <w:tcPr>
            <w:tcW w:w="4810" w:type="dxa"/>
          </w:tcPr>
          <w:p w14:paraId="2E08F8EC" w14:textId="77777777" w:rsidR="00C74826" w:rsidRPr="00266EB7" w:rsidRDefault="00C74826" w:rsidP="00740400">
            <w:pPr>
              <w:numPr>
                <w:ilvl w:val="0"/>
                <w:numId w:val="1"/>
              </w:numPr>
              <w:tabs>
                <w:tab w:val="left" w:pos="1800"/>
              </w:tabs>
              <w:spacing w:before="120"/>
              <w:ind w:left="714" w:hanging="357"/>
              <w:rPr>
                <w:rFonts w:ascii="Arial" w:hAnsi="Arial" w:cs="Arial"/>
                <w:color w:val="333333"/>
                <w:sz w:val="20"/>
                <w:szCs w:val="20"/>
                <w:lang w:val="en-NZ"/>
              </w:rPr>
            </w:pPr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We're in it together - Ko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tātau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tātau</w:t>
            </w:r>
            <w:proofErr w:type="spellEnd"/>
          </w:p>
        </w:tc>
        <w:tc>
          <w:tcPr>
            <w:tcW w:w="4810" w:type="dxa"/>
          </w:tcPr>
          <w:p w14:paraId="294245D6" w14:textId="77777777" w:rsidR="00C74826" w:rsidRPr="00266EB7" w:rsidRDefault="00C74826" w:rsidP="00740400">
            <w:pPr>
              <w:numPr>
                <w:ilvl w:val="0"/>
                <w:numId w:val="1"/>
              </w:numPr>
              <w:tabs>
                <w:tab w:val="left" w:pos="1800"/>
              </w:tabs>
              <w:spacing w:before="120"/>
              <w:ind w:left="714" w:hanging="357"/>
              <w:rPr>
                <w:rFonts w:ascii="Arial" w:hAnsi="Arial" w:cs="Arial"/>
                <w:color w:val="333333"/>
                <w:sz w:val="20"/>
                <w:szCs w:val="20"/>
                <w:lang w:val="en-NZ"/>
              </w:rPr>
            </w:pPr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Proud of who we are - 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Whakahīhī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whakapapa</w:t>
            </w:r>
          </w:p>
        </w:tc>
      </w:tr>
    </w:tbl>
    <w:p w14:paraId="6D8FC881" w14:textId="77777777" w:rsidR="00C74826" w:rsidRPr="001B66F5" w:rsidRDefault="00000000" w:rsidP="00C74826">
      <w:pPr>
        <w:pStyle w:val="Heading3"/>
        <w:spacing w:before="120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pict w14:anchorId="5816EFC7">
          <v:rect id="_x0000_i1027" style="width:470.2pt;height:1pt" o:hralign="center" o:hrstd="t" o:hrnoshade="t" o:hr="t" fillcolor="silver" stroked="f">
            <v:imagedata r:id="rId13" o:title=""/>
          </v:rect>
        </w:pict>
      </w:r>
    </w:p>
    <w:p w14:paraId="400BE730" w14:textId="77777777" w:rsidR="00C74826" w:rsidRPr="001B66F5" w:rsidRDefault="00C74826" w:rsidP="00C74826">
      <w:pPr>
        <w:pStyle w:val="Heading3"/>
        <w:spacing w:before="120"/>
        <w:rPr>
          <w:i/>
          <w:iCs/>
          <w:color w:val="00703C"/>
          <w:sz w:val="28"/>
          <w:szCs w:val="28"/>
          <w:lang w:val="en-NZ"/>
        </w:rPr>
      </w:pPr>
      <w:r w:rsidRPr="001B66F5">
        <w:rPr>
          <w:i/>
          <w:iCs/>
          <w:color w:val="00703C"/>
          <w:sz w:val="28"/>
          <w:szCs w:val="28"/>
          <w:lang w:val="en-NZ"/>
        </w:rPr>
        <w:t>Work Environment</w:t>
      </w:r>
    </w:p>
    <w:p w14:paraId="23B0ECB0" w14:textId="77777777" w:rsidR="00C74826" w:rsidRPr="00064402" w:rsidRDefault="00C74826" w:rsidP="00C74826">
      <w:pPr>
        <w:tabs>
          <w:tab w:val="left" w:pos="1800"/>
        </w:tabs>
        <w:spacing w:before="120" w:after="120"/>
        <w:jc w:val="both"/>
        <w:rPr>
          <w:rFonts w:ascii="Arial" w:hAnsi="Arial" w:cs="Arial"/>
          <w:sz w:val="20"/>
          <w:szCs w:val="20"/>
          <w:lang w:val="en-NZ"/>
        </w:rPr>
      </w:pPr>
      <w:r w:rsidRPr="00064402">
        <w:rPr>
          <w:rFonts w:ascii="Arial" w:hAnsi="Arial" w:cs="Arial"/>
          <w:sz w:val="20"/>
          <w:szCs w:val="20"/>
          <w:lang w:val="en-NZ"/>
        </w:rPr>
        <w:t xml:space="preserve">We strive to provide an environment that </w:t>
      </w:r>
      <w:r w:rsidRPr="005A3027">
        <w:rPr>
          <w:rFonts w:ascii="Arial" w:hAnsi="Arial" w:cs="Arial"/>
          <w:sz w:val="20"/>
          <w:szCs w:val="20"/>
          <w:lang w:val="en-NZ"/>
        </w:rPr>
        <w:t>promotes and fosters achievement. We place importance on career development and training to give our people the tools they need to succeed.</w:t>
      </w:r>
    </w:p>
    <w:p w14:paraId="5574E404" w14:textId="77777777" w:rsidR="00C74826" w:rsidRPr="00064402" w:rsidRDefault="00C74826" w:rsidP="00C74826">
      <w:pPr>
        <w:tabs>
          <w:tab w:val="left" w:pos="1800"/>
        </w:tabs>
        <w:spacing w:before="120" w:after="120"/>
        <w:jc w:val="both"/>
        <w:rPr>
          <w:rFonts w:ascii="Arial" w:hAnsi="Arial" w:cs="Arial"/>
          <w:sz w:val="20"/>
          <w:szCs w:val="20"/>
          <w:lang w:val="en-NZ"/>
        </w:rPr>
      </w:pPr>
      <w:r w:rsidRPr="00064402">
        <w:rPr>
          <w:rFonts w:ascii="Arial" w:hAnsi="Arial" w:cs="Arial"/>
          <w:sz w:val="20"/>
          <w:szCs w:val="20"/>
          <w:lang w:val="en-NZ"/>
        </w:rPr>
        <w:t>FMG’s Head Office is located in Wellington and accommodates FMG’s Executive Leadership Team (ELT), Client Propositions &amp; Online Services, People &amp; Culture and Communications, Financial Management, Product &amp; Pricing and Underwriting, Reinsurance, Business Information and Analysis, Legal and Compliance.</w:t>
      </w:r>
    </w:p>
    <w:p w14:paraId="005C639F" w14:textId="77777777" w:rsidR="00C74826" w:rsidRPr="00064402" w:rsidRDefault="00C74826" w:rsidP="00C74826">
      <w:pPr>
        <w:tabs>
          <w:tab w:val="left" w:pos="1800"/>
        </w:tabs>
        <w:spacing w:before="120" w:after="120"/>
        <w:jc w:val="both"/>
        <w:rPr>
          <w:rFonts w:ascii="Arial" w:hAnsi="Arial" w:cs="Arial"/>
          <w:sz w:val="20"/>
          <w:szCs w:val="20"/>
          <w:lang w:val="en-NZ"/>
        </w:rPr>
      </w:pPr>
      <w:r w:rsidRPr="00064402">
        <w:rPr>
          <w:rFonts w:ascii="Arial" w:hAnsi="Arial" w:cs="Arial"/>
          <w:sz w:val="20"/>
          <w:szCs w:val="20"/>
          <w:lang w:val="en-NZ"/>
        </w:rPr>
        <w:t xml:space="preserve">FMG’s largest regional office is located in Palmerston North accommodating our National Sales &amp; </w:t>
      </w:r>
      <w:r>
        <w:rPr>
          <w:rFonts w:ascii="Arial" w:hAnsi="Arial" w:cs="Arial"/>
          <w:sz w:val="20"/>
          <w:szCs w:val="20"/>
          <w:lang w:val="en-NZ"/>
        </w:rPr>
        <w:t xml:space="preserve">Advice </w:t>
      </w:r>
      <w:r w:rsidRPr="00064402">
        <w:rPr>
          <w:rFonts w:ascii="Arial" w:hAnsi="Arial" w:cs="Arial"/>
          <w:sz w:val="20"/>
          <w:szCs w:val="20"/>
          <w:lang w:val="en-NZ"/>
        </w:rPr>
        <w:t xml:space="preserve">Centre, Information Technology, Claims, Operations and Payments functions.  In addition to the offices in Wellington, Palmerston North and Christchurch FMG has offices in 30 regional locations throughout New Zealand. </w:t>
      </w:r>
    </w:p>
    <w:p w14:paraId="2D1530E2" w14:textId="77777777" w:rsidR="006605FC" w:rsidRPr="0016270D" w:rsidRDefault="00000000" w:rsidP="00EA5DDC">
      <w:pPr>
        <w:pStyle w:val="Heading3"/>
        <w:spacing w:before="120"/>
        <w:rPr>
          <w:sz w:val="20"/>
          <w:szCs w:val="20"/>
        </w:rPr>
      </w:pPr>
      <w:r>
        <w:rPr>
          <w:sz w:val="20"/>
          <w:szCs w:val="20"/>
        </w:rPr>
        <w:pict w14:anchorId="45FFEA3A">
          <v:rect id="_x0000_i1028" style="width:470.2pt;height:1pt" o:hrstd="t" o:hrnoshade="t" o:hr="t" fillcolor="silver" stroked="f"/>
        </w:pict>
      </w:r>
    </w:p>
    <w:p w14:paraId="210117E8" w14:textId="77777777" w:rsidR="00C1744E" w:rsidRPr="0016270D" w:rsidRDefault="00C836EA" w:rsidP="00EA5DDC">
      <w:pPr>
        <w:pStyle w:val="Heading3"/>
        <w:spacing w:before="120"/>
        <w:rPr>
          <w:i/>
          <w:iCs/>
          <w:color w:val="00703C"/>
          <w:sz w:val="20"/>
          <w:szCs w:val="20"/>
        </w:rPr>
      </w:pPr>
      <w:r w:rsidRPr="0016270D">
        <w:rPr>
          <w:sz w:val="20"/>
          <w:szCs w:val="20"/>
        </w:rPr>
        <w:br w:type="page"/>
      </w:r>
      <w:r w:rsidR="00C1744E" w:rsidRPr="0016270D">
        <w:rPr>
          <w:i/>
          <w:iCs/>
          <w:color w:val="00703C"/>
          <w:sz w:val="20"/>
          <w:szCs w:val="20"/>
        </w:rPr>
        <w:lastRenderedPageBreak/>
        <w:t>Purpose</w:t>
      </w:r>
      <w:r w:rsidR="00EE20C9" w:rsidRPr="0016270D">
        <w:rPr>
          <w:i/>
          <w:iCs/>
          <w:color w:val="00703C"/>
          <w:sz w:val="20"/>
          <w:szCs w:val="20"/>
        </w:rPr>
        <w:t xml:space="preserve"> of the role</w:t>
      </w:r>
    </w:p>
    <w:p w14:paraId="3D26B7A4" w14:textId="4B2B095F" w:rsidR="007E65A1" w:rsidRPr="00443C2F" w:rsidRDefault="007E65A1" w:rsidP="007E65A1">
      <w:pPr>
        <w:tabs>
          <w:tab w:val="left" w:pos="180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43C2F">
        <w:rPr>
          <w:rFonts w:ascii="Arial" w:hAnsi="Arial" w:cs="Arial"/>
          <w:sz w:val="20"/>
          <w:szCs w:val="20"/>
        </w:rPr>
        <w:t xml:space="preserve">In this role you will </w:t>
      </w:r>
      <w:r w:rsidR="0038676C">
        <w:rPr>
          <w:rFonts w:ascii="Arial" w:hAnsi="Arial" w:cs="Arial"/>
          <w:sz w:val="20"/>
          <w:szCs w:val="20"/>
        </w:rPr>
        <w:t xml:space="preserve">bring a Mutual-wide perspective of the </w:t>
      </w:r>
      <w:r w:rsidR="001A265B">
        <w:rPr>
          <w:rFonts w:ascii="Arial" w:hAnsi="Arial" w:cs="Arial"/>
          <w:sz w:val="20"/>
          <w:szCs w:val="20"/>
        </w:rPr>
        <w:t xml:space="preserve">client experience </w:t>
      </w:r>
      <w:r w:rsidR="0038676C">
        <w:rPr>
          <w:rFonts w:ascii="Arial" w:hAnsi="Arial" w:cs="Arial"/>
          <w:sz w:val="20"/>
          <w:szCs w:val="20"/>
        </w:rPr>
        <w:t xml:space="preserve">FMG provides, </w:t>
      </w:r>
      <w:r w:rsidRPr="00443C2F">
        <w:rPr>
          <w:rFonts w:ascii="Arial" w:hAnsi="Arial" w:cs="Arial"/>
          <w:sz w:val="20"/>
          <w:szCs w:val="20"/>
        </w:rPr>
        <w:t xml:space="preserve">to help contribute to </w:t>
      </w:r>
      <w:r w:rsidR="00FE5D11" w:rsidRPr="00443C2F">
        <w:rPr>
          <w:rFonts w:ascii="Arial" w:hAnsi="Arial" w:cs="Arial"/>
          <w:sz w:val="20"/>
          <w:szCs w:val="20"/>
        </w:rPr>
        <w:t>the strategic</w:t>
      </w:r>
      <w:r w:rsidRPr="00443C2F">
        <w:rPr>
          <w:rFonts w:ascii="Arial" w:hAnsi="Arial" w:cs="Arial"/>
          <w:sz w:val="20"/>
          <w:szCs w:val="20"/>
        </w:rPr>
        <w:t xml:space="preserve"> goals in the short, medium and long term.</w:t>
      </w:r>
      <w:r w:rsidR="003600CF">
        <w:rPr>
          <w:rFonts w:ascii="Arial" w:hAnsi="Arial" w:cs="Arial"/>
          <w:sz w:val="20"/>
          <w:szCs w:val="20"/>
        </w:rPr>
        <w:t xml:space="preserve"> </w:t>
      </w:r>
      <w:r w:rsidR="00E76485">
        <w:rPr>
          <w:rFonts w:ascii="Arial" w:hAnsi="Arial" w:cs="Arial"/>
          <w:sz w:val="20"/>
          <w:szCs w:val="20"/>
        </w:rPr>
        <w:t>This</w:t>
      </w:r>
      <w:r w:rsidR="00FE5D11">
        <w:rPr>
          <w:rFonts w:ascii="Arial" w:hAnsi="Arial" w:cs="Arial"/>
          <w:sz w:val="20"/>
          <w:szCs w:val="20"/>
        </w:rPr>
        <w:t xml:space="preserve"> role requires you to manage a team that covers research, client insights, and advice to provide holistic initiatives t</w:t>
      </w:r>
      <w:r w:rsidR="008A00D2">
        <w:rPr>
          <w:rFonts w:ascii="Arial" w:hAnsi="Arial" w:cs="Arial"/>
          <w:sz w:val="20"/>
          <w:szCs w:val="20"/>
        </w:rPr>
        <w:t>o</w:t>
      </w:r>
      <w:r w:rsidR="00FE5D11">
        <w:rPr>
          <w:rFonts w:ascii="Arial" w:hAnsi="Arial" w:cs="Arial"/>
          <w:sz w:val="20"/>
          <w:szCs w:val="20"/>
        </w:rPr>
        <w:t xml:space="preserve"> contribute towards a positive client experience. </w:t>
      </w:r>
      <w:r w:rsidR="00FE5D11" w:rsidRPr="00443C2F">
        <w:rPr>
          <w:rFonts w:ascii="Arial" w:hAnsi="Arial" w:cs="Arial"/>
          <w:sz w:val="20"/>
          <w:szCs w:val="20"/>
        </w:rPr>
        <w:t xml:space="preserve"> </w:t>
      </w:r>
    </w:p>
    <w:p w14:paraId="115FE6EC" w14:textId="46DF1D01" w:rsidR="007E65A1" w:rsidRPr="00443C2F" w:rsidRDefault="007E65A1" w:rsidP="007E65A1">
      <w:pPr>
        <w:tabs>
          <w:tab w:val="left" w:pos="180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43C2F">
        <w:rPr>
          <w:rFonts w:ascii="Arial" w:hAnsi="Arial" w:cs="Arial"/>
          <w:sz w:val="20"/>
          <w:szCs w:val="20"/>
        </w:rPr>
        <w:t>You will</w:t>
      </w:r>
      <w:r>
        <w:rPr>
          <w:rFonts w:ascii="Arial" w:hAnsi="Arial" w:cs="Arial"/>
          <w:sz w:val="20"/>
          <w:szCs w:val="20"/>
        </w:rPr>
        <w:t xml:space="preserve"> </w:t>
      </w:r>
      <w:r w:rsidR="00BF2288">
        <w:rPr>
          <w:rFonts w:ascii="Arial" w:hAnsi="Arial" w:cs="Arial"/>
          <w:sz w:val="20"/>
          <w:szCs w:val="20"/>
        </w:rPr>
        <w:t>implement</w:t>
      </w:r>
      <w:r w:rsidR="008A00D2">
        <w:rPr>
          <w:rFonts w:ascii="Arial" w:hAnsi="Arial" w:cs="Arial"/>
          <w:sz w:val="20"/>
          <w:szCs w:val="20"/>
        </w:rPr>
        <w:t xml:space="preserve"> </w:t>
      </w:r>
      <w:r w:rsidR="007125CA">
        <w:rPr>
          <w:rFonts w:ascii="Arial" w:hAnsi="Arial" w:cs="Arial"/>
          <w:sz w:val="20"/>
          <w:szCs w:val="20"/>
        </w:rPr>
        <w:t>initiatives</w:t>
      </w:r>
      <w:r w:rsidR="00BF2288">
        <w:rPr>
          <w:rFonts w:ascii="Arial" w:hAnsi="Arial" w:cs="Arial"/>
          <w:sz w:val="20"/>
          <w:szCs w:val="20"/>
        </w:rPr>
        <w:t xml:space="preserve"> and work alongside the Client Propositions Manager – Strategy and Engagement to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mob</w:t>
      </w:r>
      <w:r w:rsidR="00BF228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lise</w:t>
      </w:r>
      <w:proofErr w:type="spellEnd"/>
      <w:r>
        <w:rPr>
          <w:rFonts w:ascii="Arial" w:hAnsi="Arial" w:cs="Arial"/>
          <w:sz w:val="20"/>
          <w:szCs w:val="20"/>
        </w:rPr>
        <w:t xml:space="preserve"> different teams</w:t>
      </w:r>
      <w:r w:rsidRPr="00443C2F">
        <w:rPr>
          <w:rFonts w:ascii="Arial" w:hAnsi="Arial" w:cs="Arial"/>
          <w:sz w:val="20"/>
          <w:szCs w:val="20"/>
        </w:rPr>
        <w:t xml:space="preserve">. You will use data </w:t>
      </w:r>
      <w:r w:rsidR="00703192">
        <w:rPr>
          <w:rFonts w:ascii="Arial" w:hAnsi="Arial" w:cs="Arial"/>
          <w:sz w:val="20"/>
          <w:szCs w:val="20"/>
        </w:rPr>
        <w:t>to support client experience initiatives and ensure that advice forms a core part of these initi</w:t>
      </w:r>
      <w:r w:rsidR="005405F6">
        <w:rPr>
          <w:rFonts w:ascii="Arial" w:hAnsi="Arial" w:cs="Arial"/>
          <w:sz w:val="20"/>
          <w:szCs w:val="20"/>
        </w:rPr>
        <w:t xml:space="preserve">atives. </w:t>
      </w:r>
      <w:r w:rsidR="005405F6" w:rsidRPr="0016270D">
        <w:rPr>
          <w:rFonts w:ascii="Arial" w:hAnsi="Arial" w:cs="Arial"/>
          <w:sz w:val="20"/>
          <w:szCs w:val="20"/>
        </w:rPr>
        <w:t xml:space="preserve">Advice is spread across several business units </w:t>
      </w:r>
      <w:r w:rsidR="005405F6" w:rsidRPr="00C14713">
        <w:rPr>
          <w:rFonts w:ascii="Arial" w:hAnsi="Arial" w:cs="Arial"/>
          <w:sz w:val="20"/>
          <w:szCs w:val="20"/>
        </w:rPr>
        <w:t xml:space="preserve">and this role will </w:t>
      </w:r>
      <w:proofErr w:type="gramStart"/>
      <w:r w:rsidR="005405F6" w:rsidRPr="00C14713">
        <w:rPr>
          <w:rFonts w:ascii="Arial" w:hAnsi="Arial" w:cs="Arial"/>
          <w:sz w:val="20"/>
          <w:szCs w:val="20"/>
        </w:rPr>
        <w:t>lead</w:t>
      </w:r>
      <w:proofErr w:type="gramEnd"/>
      <w:r w:rsidR="005405F6" w:rsidRPr="00C14713">
        <w:rPr>
          <w:rFonts w:ascii="Arial" w:hAnsi="Arial" w:cs="Arial"/>
          <w:sz w:val="20"/>
          <w:szCs w:val="20"/>
        </w:rPr>
        <w:t xml:space="preserve"> these activities and provide specialist support to the Head of </w:t>
      </w:r>
      <w:r w:rsidR="005405F6">
        <w:rPr>
          <w:rFonts w:ascii="Arial" w:hAnsi="Arial" w:cs="Arial"/>
          <w:sz w:val="20"/>
          <w:szCs w:val="20"/>
        </w:rPr>
        <w:t>Client Strategy &amp; Advice Services</w:t>
      </w:r>
      <w:r w:rsidR="005405F6" w:rsidRPr="00C14713">
        <w:rPr>
          <w:rFonts w:ascii="Arial" w:hAnsi="Arial" w:cs="Arial"/>
          <w:sz w:val="20"/>
          <w:szCs w:val="20"/>
        </w:rPr>
        <w:t>.</w:t>
      </w:r>
    </w:p>
    <w:p w14:paraId="6D2C517E" w14:textId="200AF2DE" w:rsidR="0047468C" w:rsidRDefault="007E65A1" w:rsidP="00B013B1">
      <w:pPr>
        <w:tabs>
          <w:tab w:val="left" w:pos="1800"/>
        </w:tabs>
        <w:spacing w:before="120" w:after="120"/>
        <w:rPr>
          <w:rFonts w:ascii="Arial" w:hAnsi="Arial" w:cs="Arial"/>
          <w:sz w:val="20"/>
          <w:szCs w:val="20"/>
        </w:rPr>
      </w:pPr>
      <w:r w:rsidRPr="00443C2F">
        <w:rPr>
          <w:rFonts w:ascii="Arial" w:hAnsi="Arial" w:cs="Arial"/>
          <w:sz w:val="20"/>
          <w:szCs w:val="20"/>
        </w:rPr>
        <w:t>Being a strong networker is a must both internally to drive collaboration and externally to gain intel within the industry</w:t>
      </w:r>
      <w:r w:rsidR="00D27830">
        <w:rPr>
          <w:rFonts w:ascii="Arial" w:hAnsi="Arial" w:cs="Arial"/>
          <w:sz w:val="20"/>
          <w:szCs w:val="20"/>
        </w:rPr>
        <w:t xml:space="preserve">. </w:t>
      </w:r>
    </w:p>
    <w:p w14:paraId="583F3FEA" w14:textId="77777777" w:rsidR="00674C5E" w:rsidRPr="0016270D" w:rsidRDefault="00000000" w:rsidP="00EA5DDC">
      <w:pPr>
        <w:tabs>
          <w:tab w:val="left" w:pos="180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5C996BB">
          <v:rect id="_x0000_i1029" style="width:470.2pt;height:1pt" o:hrstd="t" o:hrnoshade="t" o:hr="t" fillcolor="silver" stroked="f"/>
        </w:pict>
      </w:r>
    </w:p>
    <w:p w14:paraId="0D83D8A4" w14:textId="77777777" w:rsidR="00C1744E" w:rsidRPr="0016270D" w:rsidRDefault="00237CDB" w:rsidP="00EA5DDC">
      <w:pPr>
        <w:pStyle w:val="Heading3"/>
        <w:spacing w:before="120"/>
        <w:rPr>
          <w:i/>
          <w:iCs/>
          <w:color w:val="00703C"/>
          <w:sz w:val="20"/>
          <w:szCs w:val="20"/>
        </w:rPr>
      </w:pPr>
      <w:r w:rsidRPr="0016270D">
        <w:rPr>
          <w:i/>
          <w:iCs/>
          <w:color w:val="00703C"/>
          <w:sz w:val="20"/>
          <w:szCs w:val="20"/>
        </w:rPr>
        <w:t>Key Responsibilities</w:t>
      </w: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2579"/>
        <w:gridCol w:w="7069"/>
      </w:tblGrid>
      <w:tr w:rsidR="00F66A5F" w:rsidRPr="0016270D" w14:paraId="4359E609" w14:textId="77777777" w:rsidTr="00EA5021">
        <w:trPr>
          <w:tblHeader/>
        </w:trPr>
        <w:tc>
          <w:tcPr>
            <w:tcW w:w="2579" w:type="dxa"/>
            <w:shd w:val="clear" w:color="auto" w:fill="00703C"/>
          </w:tcPr>
          <w:p w14:paraId="161ABCE2" w14:textId="77777777" w:rsidR="00F66A5F" w:rsidRPr="0016270D" w:rsidRDefault="00F66A5F" w:rsidP="00EA5DDC">
            <w:pPr>
              <w:tabs>
                <w:tab w:val="left" w:pos="1800"/>
              </w:tabs>
              <w:spacing w:before="60" w:afterLines="80" w:after="192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16270D">
              <w:rPr>
                <w:rFonts w:ascii="Arial" w:hAnsi="Arial" w:cs="Arial"/>
                <w:bCs/>
                <w:color w:val="FFFFFF"/>
                <w:sz w:val="20"/>
                <w:szCs w:val="20"/>
              </w:rPr>
              <w:t>Area</w:t>
            </w:r>
          </w:p>
        </w:tc>
        <w:tc>
          <w:tcPr>
            <w:tcW w:w="7069" w:type="dxa"/>
            <w:shd w:val="clear" w:color="auto" w:fill="00703C"/>
          </w:tcPr>
          <w:p w14:paraId="1ACCF183" w14:textId="77777777" w:rsidR="00F66A5F" w:rsidRPr="0016270D" w:rsidRDefault="00F66A5F" w:rsidP="00EA5DDC">
            <w:pPr>
              <w:tabs>
                <w:tab w:val="left" w:pos="1800"/>
              </w:tabs>
              <w:spacing w:before="60" w:afterLines="80" w:after="192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16270D">
              <w:rPr>
                <w:rFonts w:ascii="Arial" w:hAnsi="Arial" w:cs="Arial"/>
                <w:bCs/>
                <w:color w:val="FFFFFF"/>
                <w:sz w:val="20"/>
                <w:szCs w:val="20"/>
              </w:rPr>
              <w:t>Responsibilities</w:t>
            </w:r>
          </w:p>
        </w:tc>
      </w:tr>
    </w:tbl>
    <w:p w14:paraId="6ADAD0FE" w14:textId="77777777" w:rsidR="00EA5021" w:rsidRPr="0016270D" w:rsidRDefault="00EA5021" w:rsidP="00EA5DDC">
      <w:pPr>
        <w:rPr>
          <w:rFonts w:ascii="Arial" w:hAnsi="Arial" w:cs="Arial"/>
          <w:vanish/>
          <w:sz w:val="20"/>
          <w:szCs w:val="20"/>
        </w:rPr>
      </w:pP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2579"/>
        <w:gridCol w:w="7069"/>
      </w:tblGrid>
      <w:tr w:rsidR="0047468C" w:rsidRPr="006227CB" w14:paraId="089D0BE1" w14:textId="77777777" w:rsidTr="00EE1C2D">
        <w:tc>
          <w:tcPr>
            <w:tcW w:w="2579" w:type="dxa"/>
            <w:shd w:val="clear" w:color="auto" w:fill="auto"/>
          </w:tcPr>
          <w:p w14:paraId="6790856D" w14:textId="5F13E618" w:rsidR="0047468C" w:rsidRPr="006227CB" w:rsidRDefault="00995E0C" w:rsidP="00EA5DDC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>
              <w:rPr>
                <w:rFonts w:ascii="Arial" w:hAnsi="Arial" w:cs="Arial"/>
                <w:color w:val="00703C"/>
                <w:sz w:val="20"/>
                <w:szCs w:val="20"/>
              </w:rPr>
              <w:t xml:space="preserve">Lead Client Experience </w:t>
            </w:r>
          </w:p>
        </w:tc>
        <w:tc>
          <w:tcPr>
            <w:tcW w:w="7069" w:type="dxa"/>
            <w:shd w:val="clear" w:color="auto" w:fill="FFFFFF"/>
          </w:tcPr>
          <w:p w14:paraId="613D297E" w14:textId="72D76160" w:rsidR="0047468C" w:rsidRDefault="0097355C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FMG’s overall client experience programme and work with other parts of the business to </w:t>
            </w:r>
            <w:r w:rsidR="003834CF">
              <w:rPr>
                <w:rFonts w:ascii="Arial" w:hAnsi="Arial" w:cs="Arial"/>
                <w:sz w:val="20"/>
                <w:szCs w:val="20"/>
              </w:rPr>
              <w:t>ensure a one-team approach.</w:t>
            </w:r>
          </w:p>
          <w:p w14:paraId="62FDAE12" w14:textId="524FEF0C" w:rsidR="003834CF" w:rsidRDefault="008C2486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 and map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Mutual’s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current client experience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levels,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C224B1">
              <w:rPr>
                <w:rFonts w:ascii="Arial" w:hAnsi="Arial" w:cs="Arial"/>
                <w:sz w:val="20"/>
                <w:szCs w:val="20"/>
              </w:rPr>
              <w:t>nsure the research programme is aligned to the client experience outcomes the Mutual is targeting.</w:t>
            </w:r>
            <w:r w:rsidR="005658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4F676F" w14:textId="4F128EB6" w:rsidR="0056584D" w:rsidRPr="0056584D" w:rsidRDefault="0056584D" w:rsidP="0056584D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sz w:val="20"/>
                <w:szCs w:val="20"/>
              </w:rPr>
              <w:t xml:space="preserve">Establish and maintain </w:t>
            </w:r>
            <w:r w:rsidR="00AE0F16">
              <w:rPr>
                <w:rFonts w:ascii="Arial" w:hAnsi="Arial" w:cs="Arial"/>
                <w:sz w:val="20"/>
                <w:szCs w:val="20"/>
              </w:rPr>
              <w:t xml:space="preserve">key stakeholder relationships to improve client experience across </w:t>
            </w:r>
            <w:proofErr w:type="gramStart"/>
            <w:r w:rsidR="00AE0F16">
              <w:rPr>
                <w:rFonts w:ascii="Arial" w:hAnsi="Arial" w:cs="Arial"/>
                <w:sz w:val="20"/>
                <w:szCs w:val="20"/>
              </w:rPr>
              <w:t>the Mutual</w:t>
            </w:r>
            <w:proofErr w:type="gramEnd"/>
            <w:r w:rsidR="00AE0F16">
              <w:rPr>
                <w:rFonts w:ascii="Arial" w:hAnsi="Arial" w:cs="Arial"/>
                <w:sz w:val="20"/>
                <w:szCs w:val="20"/>
              </w:rPr>
              <w:t xml:space="preserve">. Lead </w:t>
            </w:r>
            <w:r w:rsidR="00973249">
              <w:rPr>
                <w:rFonts w:ascii="Arial" w:hAnsi="Arial" w:cs="Arial"/>
                <w:sz w:val="20"/>
                <w:szCs w:val="20"/>
              </w:rPr>
              <w:t>stakeholder engagement networks.</w:t>
            </w:r>
          </w:p>
          <w:p w14:paraId="2FDBEA60" w14:textId="0264BE02" w:rsidR="00EF11C5" w:rsidRDefault="00EF11C5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actionable insights and initiatives are developed to </w:t>
            </w:r>
            <w:r w:rsidR="008C2486">
              <w:rPr>
                <w:rFonts w:ascii="Arial" w:hAnsi="Arial" w:cs="Arial"/>
                <w:sz w:val="20"/>
                <w:szCs w:val="20"/>
              </w:rPr>
              <w:t xml:space="preserve">create positive client experience </w:t>
            </w:r>
            <w:proofErr w:type="gramStart"/>
            <w:r w:rsidR="008C2486">
              <w:rPr>
                <w:rFonts w:ascii="Arial" w:hAnsi="Arial" w:cs="Arial"/>
                <w:sz w:val="20"/>
                <w:szCs w:val="20"/>
              </w:rPr>
              <w:t>outcomes</w:t>
            </w:r>
            <w:r w:rsidR="003B5647">
              <w:rPr>
                <w:rFonts w:ascii="Arial" w:hAnsi="Arial" w:cs="Arial"/>
                <w:sz w:val="20"/>
                <w:szCs w:val="20"/>
              </w:rPr>
              <w:t>, and</w:t>
            </w:r>
            <w:proofErr w:type="gramEnd"/>
            <w:r w:rsidR="003B5647">
              <w:rPr>
                <w:rFonts w:ascii="Arial" w:hAnsi="Arial" w:cs="Arial"/>
                <w:sz w:val="20"/>
                <w:szCs w:val="20"/>
              </w:rPr>
              <w:t xml:space="preserve"> obtain buy-in from the wider Mutual for these initiatives.</w:t>
            </w:r>
            <w:r w:rsidR="00A02C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5B88D4" w14:textId="29F75EBB" w:rsidR="00387420" w:rsidRPr="0047468C" w:rsidRDefault="00387420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3C2F">
              <w:rPr>
                <w:rFonts w:ascii="Arial" w:hAnsi="Arial" w:cs="Arial"/>
                <w:sz w:val="20"/>
                <w:szCs w:val="20"/>
                <w:lang w:val="en-NZ"/>
              </w:rPr>
              <w:t>Assist with planning, organising and monitoring of relevant marketing initiatives and customer events to explore new business sources, enhance brand awareness and establish customer relationships.</w:t>
            </w:r>
          </w:p>
        </w:tc>
      </w:tr>
    </w:tbl>
    <w:p w14:paraId="414DE833" w14:textId="77777777" w:rsidR="00EA5021" w:rsidRPr="0016270D" w:rsidRDefault="00EA5021" w:rsidP="00EA5DDC">
      <w:pPr>
        <w:rPr>
          <w:rFonts w:ascii="Arial" w:hAnsi="Arial" w:cs="Arial"/>
          <w:vanish/>
          <w:sz w:val="20"/>
          <w:szCs w:val="20"/>
        </w:rPr>
      </w:pP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2579"/>
        <w:gridCol w:w="7069"/>
      </w:tblGrid>
      <w:tr w:rsidR="00F66A5F" w:rsidRPr="0016270D" w14:paraId="37A8CD14" w14:textId="77777777" w:rsidTr="00EA5021">
        <w:tc>
          <w:tcPr>
            <w:tcW w:w="2579" w:type="dxa"/>
            <w:shd w:val="clear" w:color="auto" w:fill="auto"/>
          </w:tcPr>
          <w:p w14:paraId="64D1CCE2" w14:textId="77777777" w:rsidR="00F66A5F" w:rsidRPr="0016270D" w:rsidRDefault="00211D5D" w:rsidP="00EA5DDC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>
              <w:rPr>
                <w:rFonts w:ascii="Arial" w:hAnsi="Arial" w:cs="Arial"/>
                <w:color w:val="00703C"/>
                <w:sz w:val="20"/>
                <w:szCs w:val="20"/>
              </w:rPr>
              <w:t xml:space="preserve">Advice </w:t>
            </w:r>
            <w:r w:rsidR="00F66A5F" w:rsidRPr="0016270D">
              <w:rPr>
                <w:rFonts w:ascii="Arial" w:hAnsi="Arial" w:cs="Arial"/>
                <w:color w:val="00703C"/>
                <w:sz w:val="20"/>
                <w:szCs w:val="20"/>
              </w:rPr>
              <w:t>Services Coordination</w:t>
            </w:r>
          </w:p>
        </w:tc>
        <w:tc>
          <w:tcPr>
            <w:tcW w:w="7069" w:type="dxa"/>
            <w:shd w:val="clear" w:color="auto" w:fill="FFFFFF"/>
          </w:tcPr>
          <w:p w14:paraId="3EAAF700" w14:textId="77777777" w:rsidR="00710D08" w:rsidRDefault="005F62F3" w:rsidP="00AE0F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Work closely with the Head of Client Strategy on the advice strategy and </w:t>
            </w:r>
            <w:r w:rsidR="00ED43B6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purpose of advice.</w:t>
            </w:r>
            <w:r w:rsidR="00AE0F16" w:rsidRPr="001627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D608C2" w14:textId="2A05E18F" w:rsidR="005F62F3" w:rsidRPr="00AE0F16" w:rsidRDefault="00AE0F16" w:rsidP="00AE0F16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sz w:val="20"/>
                <w:szCs w:val="20"/>
              </w:rPr>
              <w:t xml:space="preserve">Establish and maintain key metrics to measure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6270D">
              <w:rPr>
                <w:rFonts w:ascii="Arial" w:hAnsi="Arial" w:cs="Arial"/>
                <w:sz w:val="20"/>
                <w:szCs w:val="20"/>
              </w:rPr>
              <w:t>success of Advice Services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ADEA91" w14:textId="27F9E514" w:rsidR="00F66A5F" w:rsidRPr="0016270D" w:rsidRDefault="00CF3F1F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Ensure</w:t>
            </w:r>
            <w:r w:rsidRPr="001627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 </w:t>
            </w:r>
            <w:r w:rsidR="00F66A5F" w:rsidRPr="001627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Advice initiatives with other business units a</w:t>
            </w:r>
            <w:r w:rsidR="0059344E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re</w:t>
            </w:r>
            <w:r w:rsidR="00F66A5F" w:rsidRPr="001627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 well planned for and resourced</w:t>
            </w:r>
            <w:r w:rsidR="005D6404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.</w:t>
            </w:r>
          </w:p>
          <w:p w14:paraId="2E0CAF2B" w14:textId="29150F54" w:rsidR="005F62F3" w:rsidRPr="005F62F3" w:rsidRDefault="00F66A5F" w:rsidP="005F62F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Work closely with other business units</w:t>
            </w:r>
            <w:r w:rsidR="0059344E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 and </w:t>
            </w:r>
            <w:r w:rsidR="008911CA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A</w:t>
            </w:r>
            <w:r w:rsidR="004B0C3F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dvice</w:t>
            </w:r>
            <w:r w:rsidR="0059344E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 </w:t>
            </w:r>
            <w:r w:rsidR="008911CA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S</w:t>
            </w:r>
            <w:r w:rsidR="0059344E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ervice partners</w:t>
            </w:r>
            <w:r w:rsidRPr="001627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 to achieve agreed Advice initiatives</w:t>
            </w:r>
            <w:r w:rsidR="005D6404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.</w:t>
            </w:r>
          </w:p>
        </w:tc>
      </w:tr>
    </w:tbl>
    <w:p w14:paraId="7597EDF3" w14:textId="77777777" w:rsidR="0039257B" w:rsidRDefault="0039257B" w:rsidP="00EA5DDC">
      <w:r>
        <w:br w:type="page"/>
      </w: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2579"/>
        <w:gridCol w:w="7069"/>
      </w:tblGrid>
      <w:tr w:rsidR="0047468C" w:rsidRPr="0016270D" w14:paraId="68E43216" w14:textId="77777777" w:rsidTr="00EA5021">
        <w:tc>
          <w:tcPr>
            <w:tcW w:w="2579" w:type="dxa"/>
            <w:shd w:val="clear" w:color="auto" w:fill="auto"/>
          </w:tcPr>
          <w:p w14:paraId="60907DEF" w14:textId="77777777" w:rsidR="0047468C" w:rsidRPr="0016270D" w:rsidRDefault="0047468C" w:rsidP="00EA5DDC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6227CB">
              <w:rPr>
                <w:rFonts w:ascii="Arial" w:hAnsi="Arial" w:cs="Arial"/>
                <w:color w:val="00703C"/>
                <w:sz w:val="20"/>
                <w:szCs w:val="20"/>
              </w:rPr>
              <w:lastRenderedPageBreak/>
              <w:t xml:space="preserve">3rd </w:t>
            </w:r>
            <w:proofErr w:type="gramStart"/>
            <w:r w:rsidRPr="006227CB">
              <w:rPr>
                <w:rFonts w:ascii="Arial" w:hAnsi="Arial" w:cs="Arial"/>
                <w:color w:val="00703C"/>
                <w:sz w:val="20"/>
                <w:szCs w:val="20"/>
              </w:rPr>
              <w:t xml:space="preserve">Party </w:t>
            </w:r>
            <w:r w:rsidR="00211D5D">
              <w:rPr>
                <w:rFonts w:ascii="Arial" w:hAnsi="Arial" w:cs="Arial"/>
                <w:color w:val="00703C"/>
                <w:sz w:val="20"/>
                <w:szCs w:val="20"/>
              </w:rPr>
              <w:t>Advice</w:t>
            </w:r>
            <w:proofErr w:type="gramEnd"/>
            <w:r w:rsidR="00211D5D">
              <w:rPr>
                <w:rFonts w:ascii="Arial" w:hAnsi="Arial" w:cs="Arial"/>
                <w:color w:val="00703C"/>
                <w:sz w:val="20"/>
                <w:szCs w:val="20"/>
              </w:rPr>
              <w:t xml:space="preserve"> </w:t>
            </w:r>
            <w:r w:rsidR="0059344E">
              <w:rPr>
                <w:rFonts w:ascii="Arial" w:hAnsi="Arial" w:cs="Arial"/>
                <w:color w:val="00703C"/>
                <w:sz w:val="20"/>
                <w:szCs w:val="20"/>
              </w:rPr>
              <w:t xml:space="preserve">Services </w:t>
            </w:r>
            <w:r w:rsidRPr="006227CB">
              <w:rPr>
                <w:rFonts w:ascii="Arial" w:hAnsi="Arial" w:cs="Arial"/>
                <w:color w:val="00703C"/>
                <w:sz w:val="20"/>
                <w:szCs w:val="20"/>
              </w:rPr>
              <w:t>Provider Management</w:t>
            </w:r>
          </w:p>
        </w:tc>
        <w:tc>
          <w:tcPr>
            <w:tcW w:w="7069" w:type="dxa"/>
            <w:shd w:val="clear" w:color="auto" w:fill="FFFFFF"/>
          </w:tcPr>
          <w:p w14:paraId="223C2101" w14:textId="77777777" w:rsidR="0047468C" w:rsidRPr="006227CB" w:rsidRDefault="005D6404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="0047468C" w:rsidRPr="00622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11CA">
              <w:rPr>
                <w:rFonts w:ascii="Arial" w:hAnsi="Arial" w:cs="Arial"/>
                <w:sz w:val="20"/>
                <w:szCs w:val="20"/>
              </w:rPr>
              <w:t>third</w:t>
            </w:r>
            <w:r w:rsidR="008911CA" w:rsidRPr="00622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68C" w:rsidRPr="006227CB">
              <w:rPr>
                <w:rFonts w:ascii="Arial" w:hAnsi="Arial" w:cs="Arial"/>
                <w:sz w:val="20"/>
                <w:szCs w:val="20"/>
              </w:rPr>
              <w:t xml:space="preserve">party </w:t>
            </w:r>
            <w:r w:rsidR="00211D5D">
              <w:rPr>
                <w:rFonts w:ascii="Arial" w:hAnsi="Arial" w:cs="Arial"/>
                <w:sz w:val="20"/>
                <w:szCs w:val="20"/>
              </w:rPr>
              <w:t xml:space="preserve">Advice </w:t>
            </w:r>
            <w:r w:rsidR="0059344E">
              <w:rPr>
                <w:rFonts w:ascii="Arial" w:hAnsi="Arial" w:cs="Arial"/>
                <w:sz w:val="20"/>
                <w:szCs w:val="20"/>
              </w:rPr>
              <w:t>Service</w:t>
            </w:r>
            <w:r w:rsidR="0059344E" w:rsidRPr="00622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68C" w:rsidRPr="006227CB">
              <w:rPr>
                <w:rFonts w:ascii="Arial" w:hAnsi="Arial" w:cs="Arial"/>
                <w:sz w:val="20"/>
                <w:szCs w:val="20"/>
              </w:rPr>
              <w:t>supplier management, including service level agreements and streamlining access to their products</w:t>
            </w:r>
            <w:r w:rsidR="0059344E">
              <w:rPr>
                <w:rFonts w:ascii="Arial" w:hAnsi="Arial" w:cs="Arial"/>
                <w:sz w:val="20"/>
                <w:szCs w:val="20"/>
              </w:rPr>
              <w:t xml:space="preserve"> and services</w:t>
            </w:r>
            <w:r w:rsidR="0047468C" w:rsidRPr="006227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CADB68" w14:textId="77777777" w:rsidR="0047468C" w:rsidRPr="006227CB" w:rsidRDefault="0047468C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  <w:tab w:val="num" w:pos="353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227CB">
              <w:rPr>
                <w:rFonts w:ascii="Arial" w:hAnsi="Arial" w:cs="Arial"/>
                <w:sz w:val="20"/>
                <w:szCs w:val="20"/>
              </w:rPr>
              <w:t xml:space="preserve">Manage </w:t>
            </w:r>
            <w:r w:rsidR="008911CA">
              <w:rPr>
                <w:rFonts w:ascii="Arial" w:hAnsi="Arial" w:cs="Arial"/>
                <w:sz w:val="20"/>
                <w:szCs w:val="20"/>
              </w:rPr>
              <w:t>third</w:t>
            </w:r>
            <w:r w:rsidR="008911CA" w:rsidRPr="00622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7CB">
              <w:rPr>
                <w:rFonts w:ascii="Arial" w:hAnsi="Arial" w:cs="Arial"/>
                <w:sz w:val="20"/>
                <w:szCs w:val="20"/>
              </w:rPr>
              <w:t xml:space="preserve">party </w:t>
            </w:r>
            <w:r w:rsidR="00211D5D">
              <w:rPr>
                <w:rFonts w:ascii="Arial" w:hAnsi="Arial" w:cs="Arial"/>
                <w:sz w:val="20"/>
                <w:szCs w:val="20"/>
              </w:rPr>
              <w:t xml:space="preserve">Advice </w:t>
            </w:r>
            <w:r w:rsidR="00B6100A">
              <w:rPr>
                <w:rFonts w:ascii="Arial" w:hAnsi="Arial" w:cs="Arial"/>
                <w:sz w:val="20"/>
                <w:szCs w:val="20"/>
              </w:rPr>
              <w:t>Service</w:t>
            </w:r>
            <w:r w:rsidR="00B6100A" w:rsidRPr="00622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7CB">
              <w:rPr>
                <w:rFonts w:ascii="Arial" w:hAnsi="Arial" w:cs="Arial"/>
                <w:sz w:val="20"/>
                <w:szCs w:val="20"/>
              </w:rPr>
              <w:t>providers to ensure services and products provided are market leading and consistent with FMG brand requirements</w:t>
            </w:r>
            <w:r w:rsidR="005D64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501FE4" w14:textId="77777777" w:rsidR="0047468C" w:rsidRPr="0016270D" w:rsidRDefault="005D6404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plan</w:t>
            </w:r>
            <w:r w:rsidR="0047468C" w:rsidRPr="006227CB">
              <w:rPr>
                <w:rFonts w:ascii="Arial" w:hAnsi="Arial" w:cs="Arial"/>
                <w:sz w:val="20"/>
                <w:szCs w:val="20"/>
              </w:rPr>
              <w:t xml:space="preserve"> and execute new providers for </w:t>
            </w:r>
            <w:r w:rsidR="00211D5D">
              <w:rPr>
                <w:rFonts w:ascii="Arial" w:hAnsi="Arial" w:cs="Arial"/>
                <w:sz w:val="20"/>
                <w:szCs w:val="20"/>
              </w:rPr>
              <w:t xml:space="preserve">Advice </w:t>
            </w:r>
            <w:r w:rsidR="00B6100A">
              <w:rPr>
                <w:rFonts w:ascii="Arial" w:hAnsi="Arial" w:cs="Arial"/>
                <w:sz w:val="20"/>
                <w:szCs w:val="20"/>
              </w:rPr>
              <w:t>S</w:t>
            </w:r>
            <w:r w:rsidR="0047468C">
              <w:rPr>
                <w:rFonts w:ascii="Arial" w:hAnsi="Arial" w:cs="Arial"/>
                <w:sz w:val="20"/>
                <w:szCs w:val="20"/>
              </w:rPr>
              <w:t>ervices.</w:t>
            </w:r>
          </w:p>
        </w:tc>
      </w:tr>
      <w:tr w:rsidR="007A394C" w:rsidRPr="0016270D" w14:paraId="07143268" w14:textId="77777777" w:rsidTr="00EA5021">
        <w:tc>
          <w:tcPr>
            <w:tcW w:w="2579" w:type="dxa"/>
            <w:shd w:val="clear" w:color="auto" w:fill="auto"/>
          </w:tcPr>
          <w:p w14:paraId="1562620B" w14:textId="77777777" w:rsidR="007A394C" w:rsidRPr="007A394C" w:rsidRDefault="007A394C" w:rsidP="007A394C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036C3C">
              <w:rPr>
                <w:rFonts w:ascii="Arial" w:hAnsi="Arial" w:cs="Arial"/>
                <w:color w:val="00703C"/>
                <w:sz w:val="20"/>
                <w:szCs w:val="20"/>
              </w:rPr>
              <w:t xml:space="preserve">People Leadership </w:t>
            </w:r>
          </w:p>
        </w:tc>
        <w:tc>
          <w:tcPr>
            <w:tcW w:w="7069" w:type="dxa"/>
            <w:shd w:val="clear" w:color="auto" w:fill="FFFFFF"/>
          </w:tcPr>
          <w:p w14:paraId="7A57F09F" w14:textId="77777777" w:rsidR="007A394C" w:rsidRPr="00036C3C" w:rsidRDefault="007A394C" w:rsidP="00176032">
            <w:pPr>
              <w:numPr>
                <w:ilvl w:val="0"/>
                <w:numId w:val="10"/>
              </w:numPr>
              <w:tabs>
                <w:tab w:val="num" w:pos="432"/>
              </w:tabs>
              <w:spacing w:before="60" w:after="60" w:line="240" w:lineRule="atLeast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C3C">
              <w:rPr>
                <w:rFonts w:ascii="Arial" w:hAnsi="Arial" w:cs="Arial"/>
                <w:sz w:val="20"/>
                <w:szCs w:val="20"/>
              </w:rPr>
              <w:t xml:space="preserve">Provide clear leadership to direct reports to support achievement of results and </w:t>
            </w:r>
            <w:proofErr w:type="gramStart"/>
            <w:r w:rsidRPr="00036C3C">
              <w:rPr>
                <w:rFonts w:ascii="Arial" w:hAnsi="Arial" w:cs="Arial"/>
                <w:sz w:val="20"/>
                <w:szCs w:val="20"/>
              </w:rPr>
              <w:t>ensuring</w:t>
            </w:r>
            <w:proofErr w:type="gramEnd"/>
            <w:r w:rsidRPr="00036C3C">
              <w:rPr>
                <w:rFonts w:ascii="Arial" w:hAnsi="Arial" w:cs="Arial"/>
                <w:sz w:val="20"/>
                <w:szCs w:val="20"/>
              </w:rPr>
              <w:t xml:space="preserve"> that individual and team performance is managed and measured appropriately</w:t>
            </w:r>
          </w:p>
          <w:p w14:paraId="1AB6FF8C" w14:textId="77777777" w:rsidR="007A394C" w:rsidRPr="00036C3C" w:rsidRDefault="007A394C" w:rsidP="00176032">
            <w:pPr>
              <w:numPr>
                <w:ilvl w:val="0"/>
                <w:numId w:val="10"/>
              </w:numPr>
              <w:tabs>
                <w:tab w:val="num" w:pos="432"/>
              </w:tabs>
              <w:spacing w:before="60" w:after="60" w:line="240" w:lineRule="atLeast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C3C">
              <w:rPr>
                <w:rFonts w:ascii="Arial" w:hAnsi="Arial" w:cs="Arial"/>
                <w:sz w:val="20"/>
                <w:szCs w:val="20"/>
              </w:rPr>
              <w:t xml:space="preserve">Manage the on-going coaching and professional development of the team to ensure full competence in their roles </w:t>
            </w:r>
          </w:p>
          <w:p w14:paraId="79765408" w14:textId="77777777" w:rsidR="007A394C" w:rsidRPr="00036C3C" w:rsidRDefault="007A394C" w:rsidP="00176032">
            <w:pPr>
              <w:numPr>
                <w:ilvl w:val="0"/>
                <w:numId w:val="10"/>
              </w:numPr>
              <w:tabs>
                <w:tab w:val="num" w:pos="432"/>
              </w:tabs>
              <w:spacing w:before="60" w:after="60" w:line="240" w:lineRule="atLeast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C3C">
              <w:rPr>
                <w:rFonts w:ascii="Arial" w:hAnsi="Arial" w:cs="Arial"/>
                <w:sz w:val="20"/>
                <w:szCs w:val="20"/>
              </w:rPr>
              <w:t>Communicate and share information with the team on a regular basis, both formally and informally</w:t>
            </w:r>
          </w:p>
          <w:p w14:paraId="4B829D42" w14:textId="77777777" w:rsidR="007A394C" w:rsidRPr="00036C3C" w:rsidRDefault="007A394C" w:rsidP="00176032">
            <w:pPr>
              <w:numPr>
                <w:ilvl w:val="0"/>
                <w:numId w:val="10"/>
              </w:numPr>
              <w:tabs>
                <w:tab w:val="num" w:pos="432"/>
              </w:tabs>
              <w:spacing w:before="60" w:after="60" w:line="240" w:lineRule="atLeast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C3C">
              <w:rPr>
                <w:rFonts w:ascii="Arial" w:hAnsi="Arial" w:cs="Arial"/>
                <w:sz w:val="20"/>
                <w:szCs w:val="20"/>
              </w:rPr>
              <w:t>Drive a culture which is underpinned by individual accountability, client/business focus and collaboration.</w:t>
            </w:r>
          </w:p>
          <w:p w14:paraId="6CD7CB9C" w14:textId="77777777" w:rsidR="007A394C" w:rsidRPr="00036C3C" w:rsidRDefault="007A394C" w:rsidP="00176032">
            <w:pPr>
              <w:numPr>
                <w:ilvl w:val="0"/>
                <w:numId w:val="10"/>
              </w:numPr>
              <w:tabs>
                <w:tab w:val="num" w:pos="432"/>
              </w:tabs>
              <w:spacing w:before="60" w:after="60" w:line="240" w:lineRule="atLeast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C3C">
              <w:rPr>
                <w:rFonts w:ascii="Arial" w:hAnsi="Arial" w:cs="Arial"/>
                <w:sz w:val="20"/>
                <w:szCs w:val="20"/>
              </w:rPr>
              <w:t>Actively looks for and identifies areas for improvement within the team’s business processes.</w:t>
            </w:r>
          </w:p>
          <w:p w14:paraId="2DAB0952" w14:textId="77777777" w:rsidR="007A394C" w:rsidRPr="00036C3C" w:rsidRDefault="007A394C" w:rsidP="00176032">
            <w:pPr>
              <w:numPr>
                <w:ilvl w:val="0"/>
                <w:numId w:val="10"/>
              </w:numPr>
              <w:tabs>
                <w:tab w:val="num" w:pos="432"/>
              </w:tabs>
              <w:spacing w:before="60" w:after="60" w:line="240" w:lineRule="atLeast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C3C">
              <w:rPr>
                <w:rFonts w:ascii="Arial" w:hAnsi="Arial" w:cs="Arial"/>
                <w:sz w:val="20"/>
                <w:szCs w:val="20"/>
              </w:rPr>
              <w:t xml:space="preserve">Identifies, understands and mitigates the risks that may impact on FMG's strategy, initiatives and reputation. </w:t>
            </w:r>
          </w:p>
          <w:p w14:paraId="15916D20" w14:textId="77777777" w:rsidR="007A394C" w:rsidRPr="007A394C" w:rsidRDefault="007A394C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36C3C">
              <w:rPr>
                <w:rFonts w:ascii="Arial" w:hAnsi="Arial" w:cs="Arial"/>
                <w:sz w:val="20"/>
                <w:szCs w:val="20"/>
              </w:rPr>
              <w:t xml:space="preserve">Report regularly to the wider </w:t>
            </w:r>
            <w:r>
              <w:rPr>
                <w:rFonts w:ascii="Arial" w:hAnsi="Arial" w:cs="Arial"/>
                <w:sz w:val="20"/>
                <w:szCs w:val="20"/>
              </w:rPr>
              <w:t>Client Strategy &amp; Advice Services</w:t>
            </w:r>
            <w:r w:rsidRPr="00036C3C">
              <w:rPr>
                <w:rFonts w:ascii="Arial" w:hAnsi="Arial" w:cs="Arial"/>
                <w:sz w:val="20"/>
                <w:szCs w:val="20"/>
              </w:rPr>
              <w:t xml:space="preserve"> team and wider stakeholders to identify opportunities and to celebrate successes.</w:t>
            </w:r>
          </w:p>
        </w:tc>
      </w:tr>
      <w:tr w:rsidR="007A394C" w:rsidRPr="0016270D" w14:paraId="6C8B193C" w14:textId="77777777" w:rsidTr="00EA5021">
        <w:tc>
          <w:tcPr>
            <w:tcW w:w="2579" w:type="dxa"/>
            <w:shd w:val="clear" w:color="auto" w:fill="auto"/>
          </w:tcPr>
          <w:p w14:paraId="2CDE61BA" w14:textId="77777777" w:rsidR="007A394C" w:rsidRPr="0016270D" w:rsidRDefault="007A394C" w:rsidP="007A394C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color w:val="00703C"/>
                <w:sz w:val="20"/>
                <w:szCs w:val="20"/>
              </w:rPr>
              <w:t>Team Membership</w:t>
            </w:r>
            <w:r>
              <w:rPr>
                <w:rFonts w:ascii="Arial" w:hAnsi="Arial" w:cs="Arial"/>
                <w:color w:val="00703C"/>
                <w:sz w:val="20"/>
                <w:szCs w:val="20"/>
              </w:rPr>
              <w:t xml:space="preserve"> &amp; Personal Development</w:t>
            </w:r>
          </w:p>
        </w:tc>
        <w:tc>
          <w:tcPr>
            <w:tcW w:w="7069" w:type="dxa"/>
            <w:shd w:val="clear" w:color="auto" w:fill="FFFFFF"/>
          </w:tcPr>
          <w:p w14:paraId="6A57DAE9" w14:textId="77777777" w:rsidR="007A394C" w:rsidRPr="0016270D" w:rsidRDefault="007A394C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Proactively assists and supports </w:t>
            </w:r>
            <w:r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Client Strategy &amp; Advice Services</w:t>
            </w:r>
            <w:r w:rsidRPr="001627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 team colleagues and other stakeholders.</w:t>
            </w:r>
          </w:p>
          <w:p w14:paraId="4775FB47" w14:textId="77777777" w:rsidR="007A394C" w:rsidRDefault="007A394C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Shares information and resources and provides feedback in a positive and collaborative manner.</w:t>
            </w:r>
          </w:p>
          <w:p w14:paraId="1435BC72" w14:textId="77777777" w:rsidR="007A394C" w:rsidRPr="001F760D" w:rsidRDefault="007A394C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</w:pPr>
            <w:r w:rsidRPr="00036C3C">
              <w:rPr>
                <w:rFonts w:ascii="Arial" w:hAnsi="Arial" w:cs="Arial"/>
                <w:sz w:val="20"/>
                <w:szCs w:val="20"/>
              </w:rPr>
              <w:t>Role-model the FMG capability development principles; Take ownership for your personal development, seek guidance from your people leader and colleagues, seize and create opportunities in your work and identify</w:t>
            </w:r>
            <w:r w:rsidRPr="00036C3C">
              <w:t xml:space="preserve"> </w:t>
            </w:r>
            <w:r w:rsidRPr="00036C3C">
              <w:rPr>
                <w:rFonts w:ascii="Arial" w:hAnsi="Arial" w:cs="Arial"/>
                <w:sz w:val="20"/>
                <w:szCs w:val="20"/>
              </w:rPr>
              <w:t>areas that FMG should invest which will build your capability and that of others.</w:t>
            </w:r>
          </w:p>
        </w:tc>
      </w:tr>
      <w:tr w:rsidR="003D213F" w:rsidRPr="0016270D" w14:paraId="24586DBA" w14:textId="77777777" w:rsidTr="00EA5021">
        <w:tc>
          <w:tcPr>
            <w:tcW w:w="2579" w:type="dxa"/>
            <w:shd w:val="clear" w:color="auto" w:fill="auto"/>
          </w:tcPr>
          <w:p w14:paraId="7B98E4A7" w14:textId="03C40331" w:rsidR="003D213F" w:rsidRPr="0016270D" w:rsidRDefault="003D213F" w:rsidP="003D213F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443C2F">
              <w:rPr>
                <w:rFonts w:ascii="Arial" w:hAnsi="Arial" w:cs="Arial"/>
                <w:color w:val="00703C"/>
                <w:sz w:val="20"/>
                <w:szCs w:val="20"/>
              </w:rPr>
              <w:t>Business Requirements</w:t>
            </w:r>
          </w:p>
        </w:tc>
        <w:tc>
          <w:tcPr>
            <w:tcW w:w="7069" w:type="dxa"/>
            <w:shd w:val="clear" w:color="auto" w:fill="FFFFFF"/>
          </w:tcPr>
          <w:p w14:paraId="3388DB79" w14:textId="11BB2C78" w:rsidR="003D213F" w:rsidRPr="0016270D" w:rsidRDefault="003D213F" w:rsidP="003D213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</w:pPr>
            <w:r w:rsidRPr="00443C2F">
              <w:rPr>
                <w:rFonts w:ascii="Arial" w:hAnsi="Arial" w:cs="Arial"/>
                <w:sz w:val="20"/>
                <w:szCs w:val="20"/>
              </w:rPr>
              <w:t>Document the team’s approved requests for development and improvement that enhance FMG’s proposition and/or client experience.</w:t>
            </w:r>
          </w:p>
        </w:tc>
      </w:tr>
    </w:tbl>
    <w:p w14:paraId="400CC77F" w14:textId="77777777" w:rsidR="003D213F" w:rsidRDefault="003D213F">
      <w:r>
        <w:br w:type="page"/>
      </w: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2579"/>
        <w:gridCol w:w="7069"/>
      </w:tblGrid>
      <w:tr w:rsidR="003D213F" w:rsidRPr="0016270D" w14:paraId="5F33460E" w14:textId="77777777" w:rsidTr="00EA5021">
        <w:tc>
          <w:tcPr>
            <w:tcW w:w="2579" w:type="dxa"/>
            <w:shd w:val="clear" w:color="auto" w:fill="auto"/>
          </w:tcPr>
          <w:p w14:paraId="6F7637F5" w14:textId="54A5BDE0" w:rsidR="003D213F" w:rsidRPr="0016270D" w:rsidRDefault="003D213F" w:rsidP="003D213F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443C2F">
              <w:rPr>
                <w:rFonts w:ascii="Arial" w:hAnsi="Arial" w:cs="Arial"/>
                <w:color w:val="00703C"/>
                <w:sz w:val="20"/>
                <w:szCs w:val="20"/>
              </w:rPr>
              <w:lastRenderedPageBreak/>
              <w:t>Team Membership</w:t>
            </w:r>
          </w:p>
        </w:tc>
        <w:tc>
          <w:tcPr>
            <w:tcW w:w="7069" w:type="dxa"/>
            <w:shd w:val="clear" w:color="auto" w:fill="FFFFFF"/>
          </w:tcPr>
          <w:p w14:paraId="42D5456A" w14:textId="77777777" w:rsidR="003D213F" w:rsidRPr="00443C2F" w:rsidRDefault="003D213F" w:rsidP="003D213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3C2F">
              <w:rPr>
                <w:rFonts w:ascii="Arial" w:hAnsi="Arial" w:cs="Arial"/>
                <w:sz w:val="20"/>
                <w:szCs w:val="20"/>
              </w:rPr>
              <w:t>Proactively assist the Client Strategy &amp; Advice Services team colleagues and other stakeholders.</w:t>
            </w:r>
          </w:p>
          <w:p w14:paraId="403227F2" w14:textId="69AFAB09" w:rsidR="003D213F" w:rsidRPr="0016270D" w:rsidRDefault="003D213F" w:rsidP="003D213F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</w:pPr>
            <w:r w:rsidRPr="00443C2F">
              <w:rPr>
                <w:rFonts w:ascii="Arial" w:hAnsi="Arial" w:cs="Arial"/>
                <w:sz w:val="20"/>
                <w:szCs w:val="20"/>
              </w:rPr>
              <w:t>Share information and resources and provide feedback in a positive and collaborative manner.</w:t>
            </w:r>
          </w:p>
        </w:tc>
      </w:tr>
      <w:tr w:rsidR="004E7258" w:rsidRPr="00443C2F" w14:paraId="7B4FA29A" w14:textId="77777777" w:rsidTr="004E7258">
        <w:tc>
          <w:tcPr>
            <w:tcW w:w="257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EB9EF4" w14:textId="77777777" w:rsidR="004E7258" w:rsidRPr="00443C2F" w:rsidRDefault="004E7258" w:rsidP="004E7258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443C2F">
              <w:rPr>
                <w:rFonts w:ascii="Arial" w:hAnsi="Arial" w:cs="Arial"/>
                <w:color w:val="00703C"/>
                <w:sz w:val="20"/>
                <w:szCs w:val="20"/>
              </w:rPr>
              <w:t>Self-Development</w:t>
            </w:r>
          </w:p>
        </w:tc>
        <w:tc>
          <w:tcPr>
            <w:tcW w:w="706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14:paraId="743DA0D3" w14:textId="77777777" w:rsidR="004E7258" w:rsidRPr="00443C2F" w:rsidRDefault="004E7258" w:rsidP="004E725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3C2F">
              <w:rPr>
                <w:rFonts w:ascii="Arial" w:hAnsi="Arial" w:cs="Arial"/>
                <w:sz w:val="20"/>
                <w:szCs w:val="20"/>
              </w:rPr>
              <w:t xml:space="preserve">Maintain </w:t>
            </w:r>
            <w:proofErr w:type="gramStart"/>
            <w:r w:rsidRPr="00443C2F">
              <w:rPr>
                <w:rFonts w:ascii="Arial" w:hAnsi="Arial" w:cs="Arial"/>
                <w:sz w:val="20"/>
                <w:szCs w:val="20"/>
              </w:rPr>
              <w:t>own</w:t>
            </w:r>
            <w:proofErr w:type="gramEnd"/>
            <w:r w:rsidRPr="00443C2F">
              <w:rPr>
                <w:rFonts w:ascii="Arial" w:hAnsi="Arial" w:cs="Arial"/>
                <w:sz w:val="20"/>
                <w:szCs w:val="20"/>
              </w:rPr>
              <w:t xml:space="preserve"> knowledge base of best practice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443C2F">
              <w:rPr>
                <w:rFonts w:ascii="Arial" w:hAnsi="Arial" w:cs="Arial"/>
                <w:sz w:val="20"/>
                <w:szCs w:val="20"/>
              </w:rPr>
              <w:t xml:space="preserve"> act as an expert resource</w:t>
            </w:r>
          </w:p>
        </w:tc>
      </w:tr>
      <w:tr w:rsidR="004E7258" w:rsidRPr="00443C2F" w14:paraId="1F85A517" w14:textId="77777777" w:rsidTr="004E7258">
        <w:tc>
          <w:tcPr>
            <w:tcW w:w="257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1DFA23" w14:textId="77777777" w:rsidR="004E7258" w:rsidRPr="00443C2F" w:rsidRDefault="004E7258" w:rsidP="004E7258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443C2F">
              <w:rPr>
                <w:rFonts w:ascii="Arial" w:hAnsi="Arial" w:cs="Arial"/>
                <w:color w:val="00703C"/>
                <w:sz w:val="20"/>
                <w:szCs w:val="20"/>
              </w:rPr>
              <w:t>FMG Values</w:t>
            </w:r>
          </w:p>
        </w:tc>
        <w:tc>
          <w:tcPr>
            <w:tcW w:w="706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14:paraId="4E11E4DC" w14:textId="77777777" w:rsidR="004E7258" w:rsidRPr="00443C2F" w:rsidRDefault="004E7258" w:rsidP="004E725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  <w:tab w:val="num" w:pos="438"/>
              </w:tabs>
              <w:overflowPunct w:val="0"/>
              <w:autoSpaceDE w:val="0"/>
              <w:autoSpaceDN w:val="0"/>
              <w:adjustRightInd w:val="0"/>
              <w:spacing w:before="60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3C2F">
              <w:rPr>
                <w:rFonts w:ascii="Arial" w:hAnsi="Arial" w:cs="Arial"/>
                <w:sz w:val="20"/>
                <w:szCs w:val="20"/>
              </w:rPr>
              <w:t xml:space="preserve">Promotes the “FMG Way” through displaying the values of FMG which are: Do what’s right, </w:t>
            </w:r>
            <w:proofErr w:type="gramStart"/>
            <w:r w:rsidRPr="00443C2F">
              <w:rPr>
                <w:rFonts w:ascii="Arial" w:hAnsi="Arial" w:cs="Arial"/>
                <w:sz w:val="20"/>
                <w:szCs w:val="20"/>
              </w:rPr>
              <w:t>Make</w:t>
            </w:r>
            <w:proofErr w:type="gramEnd"/>
            <w:r w:rsidRPr="00443C2F">
              <w:rPr>
                <w:rFonts w:ascii="Arial" w:hAnsi="Arial" w:cs="Arial"/>
                <w:sz w:val="20"/>
                <w:szCs w:val="20"/>
              </w:rPr>
              <w:t xml:space="preserve"> it happen, We’re in it together, Proud of who we are.</w:t>
            </w:r>
          </w:p>
        </w:tc>
      </w:tr>
      <w:tr w:rsidR="004E7258" w:rsidRPr="00443C2F" w14:paraId="0353FE96" w14:textId="77777777" w:rsidTr="004E7258">
        <w:tc>
          <w:tcPr>
            <w:tcW w:w="257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1B1CAC" w14:textId="77777777" w:rsidR="004E7258" w:rsidRPr="00443C2F" w:rsidRDefault="004E7258" w:rsidP="004E7258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443C2F">
              <w:rPr>
                <w:rFonts w:ascii="Arial" w:hAnsi="Arial" w:cs="Arial"/>
                <w:color w:val="00703C"/>
                <w:sz w:val="20"/>
                <w:szCs w:val="20"/>
              </w:rPr>
              <w:t>Other Duties</w:t>
            </w:r>
          </w:p>
        </w:tc>
        <w:tc>
          <w:tcPr>
            <w:tcW w:w="706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14:paraId="5C27F0F6" w14:textId="77777777" w:rsidR="004E7258" w:rsidRPr="00443C2F" w:rsidRDefault="004E7258" w:rsidP="004E725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3C2F">
              <w:rPr>
                <w:rFonts w:ascii="Arial" w:hAnsi="Arial" w:cs="Arial"/>
                <w:sz w:val="20"/>
                <w:szCs w:val="20"/>
              </w:rPr>
              <w:t>Undertakes</w:t>
            </w:r>
            <w:proofErr w:type="gramEnd"/>
            <w:r w:rsidRPr="00443C2F">
              <w:rPr>
                <w:rFonts w:ascii="Arial" w:hAnsi="Arial" w:cs="Arial"/>
                <w:sz w:val="20"/>
                <w:szCs w:val="20"/>
              </w:rPr>
              <w:t xml:space="preserve"> tasks as directed by the Head of Client Strategy &amp; Advice Services from time to time.</w:t>
            </w:r>
          </w:p>
        </w:tc>
      </w:tr>
      <w:tr w:rsidR="004E7258" w:rsidRPr="00443C2F" w14:paraId="0522FDE8" w14:textId="77777777" w:rsidTr="004E7258">
        <w:tc>
          <w:tcPr>
            <w:tcW w:w="257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5A8593" w14:textId="77777777" w:rsidR="004E7258" w:rsidRPr="00443C2F" w:rsidRDefault="004E7258" w:rsidP="004E7258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443C2F">
              <w:rPr>
                <w:rFonts w:ascii="Arial" w:hAnsi="Arial" w:cs="Arial"/>
                <w:color w:val="00703C"/>
                <w:sz w:val="20"/>
                <w:szCs w:val="20"/>
              </w:rPr>
              <w:t>Compliance</w:t>
            </w:r>
          </w:p>
        </w:tc>
        <w:tc>
          <w:tcPr>
            <w:tcW w:w="706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14:paraId="53C34460" w14:textId="77777777" w:rsidR="004E7258" w:rsidRPr="00443C2F" w:rsidRDefault="004E7258" w:rsidP="004E725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3C2F">
              <w:rPr>
                <w:rFonts w:ascii="Arial" w:hAnsi="Arial" w:cs="Arial"/>
                <w:sz w:val="20"/>
                <w:szCs w:val="20"/>
              </w:rPr>
              <w:t xml:space="preserve">Ensure assigned products and overall work is compliant with legislation, regulations and FMG policies </w:t>
            </w:r>
            <w:proofErr w:type="gramStart"/>
            <w:r w:rsidRPr="00443C2F">
              <w:rPr>
                <w:rFonts w:ascii="Arial" w:hAnsi="Arial" w:cs="Arial"/>
                <w:sz w:val="20"/>
                <w:szCs w:val="20"/>
              </w:rPr>
              <w:t>through the use of</w:t>
            </w:r>
            <w:proofErr w:type="gramEnd"/>
            <w:r w:rsidRPr="00443C2F">
              <w:rPr>
                <w:rFonts w:ascii="Arial" w:hAnsi="Arial" w:cs="Arial"/>
                <w:sz w:val="20"/>
                <w:szCs w:val="20"/>
              </w:rPr>
              <w:t xml:space="preserve"> established systems.</w:t>
            </w:r>
          </w:p>
        </w:tc>
      </w:tr>
      <w:tr w:rsidR="004E7258" w:rsidRPr="00443C2F" w14:paraId="09A8860C" w14:textId="77777777" w:rsidTr="004E7258">
        <w:tc>
          <w:tcPr>
            <w:tcW w:w="257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735765" w14:textId="77777777" w:rsidR="004E7258" w:rsidRPr="00443C2F" w:rsidRDefault="004E7258" w:rsidP="004E7258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443C2F">
              <w:rPr>
                <w:rFonts w:ascii="Arial" w:hAnsi="Arial" w:cs="Arial"/>
                <w:color w:val="00703C"/>
                <w:sz w:val="20"/>
                <w:szCs w:val="20"/>
              </w:rPr>
              <w:t>Wellbeing &amp; Safety</w:t>
            </w:r>
          </w:p>
        </w:tc>
        <w:tc>
          <w:tcPr>
            <w:tcW w:w="706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14:paraId="25EC7451" w14:textId="77777777" w:rsidR="004E7258" w:rsidRPr="00443C2F" w:rsidRDefault="004E7258" w:rsidP="004E725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 w:line="240" w:lineRule="atLeast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3C2F">
              <w:rPr>
                <w:rFonts w:ascii="Arial" w:hAnsi="Arial" w:cs="Arial"/>
                <w:sz w:val="20"/>
                <w:szCs w:val="20"/>
              </w:rPr>
              <w:t>Comply with the Safety &amp; Wellbeing policy and procedures, including accident and incident reporting and hazard management requirements</w:t>
            </w:r>
          </w:p>
          <w:p w14:paraId="7B370ADC" w14:textId="77777777" w:rsidR="004E7258" w:rsidRPr="00443C2F" w:rsidRDefault="004E7258" w:rsidP="004E7258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num" w:pos="305"/>
              </w:tabs>
              <w:overflowPunct w:val="0"/>
              <w:autoSpaceDE w:val="0"/>
              <w:autoSpaceDN w:val="0"/>
              <w:adjustRightInd w:val="0"/>
              <w:spacing w:beforeLines="60" w:before="144"/>
              <w:ind w:left="249" w:hanging="24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3C2F">
              <w:rPr>
                <w:rFonts w:ascii="Arial" w:hAnsi="Arial" w:cs="Arial"/>
                <w:sz w:val="20"/>
                <w:szCs w:val="20"/>
              </w:rPr>
              <w:t xml:space="preserve">Work in a safe manner </w:t>
            </w:r>
            <w:proofErr w:type="gramStart"/>
            <w:r w:rsidRPr="00443C2F">
              <w:rPr>
                <w:rFonts w:ascii="Arial" w:hAnsi="Arial" w:cs="Arial"/>
                <w:sz w:val="20"/>
                <w:szCs w:val="20"/>
              </w:rPr>
              <w:t>at all times</w:t>
            </w:r>
            <w:proofErr w:type="gramEnd"/>
            <w:r w:rsidRPr="00443C2F">
              <w:rPr>
                <w:rFonts w:ascii="Arial" w:hAnsi="Arial" w:cs="Arial"/>
                <w:sz w:val="20"/>
                <w:szCs w:val="20"/>
              </w:rPr>
              <w:t xml:space="preserve"> and do not undertake activities without appropriate training</w:t>
            </w:r>
          </w:p>
        </w:tc>
      </w:tr>
    </w:tbl>
    <w:p w14:paraId="4D136A71" w14:textId="77777777" w:rsidR="0039257B" w:rsidRDefault="0039257B" w:rsidP="00EA5DDC"/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0A0" w:firstRow="1" w:lastRow="0" w:firstColumn="1" w:lastColumn="0" w:noHBand="0" w:noVBand="0"/>
      </w:tblPr>
      <w:tblGrid>
        <w:gridCol w:w="7488"/>
        <w:gridCol w:w="2160"/>
      </w:tblGrid>
      <w:tr w:rsidR="003A367A" w:rsidRPr="0016270D" w14:paraId="4F5C2812" w14:textId="77777777" w:rsidTr="0081130E">
        <w:trPr>
          <w:trHeight w:val="427"/>
        </w:trPr>
        <w:tc>
          <w:tcPr>
            <w:tcW w:w="9648" w:type="dxa"/>
            <w:gridSpan w:val="2"/>
            <w:shd w:val="clear" w:color="auto" w:fill="00703C"/>
            <w:vAlign w:val="center"/>
          </w:tcPr>
          <w:p w14:paraId="7CE74557" w14:textId="77777777" w:rsidR="003A367A" w:rsidRPr="0016270D" w:rsidRDefault="0081130E" w:rsidP="008703D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COMPETENCIES</w:t>
            </w:r>
          </w:p>
        </w:tc>
      </w:tr>
      <w:tr w:rsidR="003A367A" w:rsidRPr="0016270D" w14:paraId="6C4BED88" w14:textId="77777777" w:rsidTr="00EA5DDC">
        <w:trPr>
          <w:trHeight w:val="567"/>
        </w:trPr>
        <w:tc>
          <w:tcPr>
            <w:tcW w:w="7488" w:type="dxa"/>
            <w:tcBorders>
              <w:right w:val="nil"/>
            </w:tcBorders>
            <w:vAlign w:val="center"/>
          </w:tcPr>
          <w:p w14:paraId="1D7A11FC" w14:textId="77777777" w:rsidR="003A367A" w:rsidRPr="0016270D" w:rsidRDefault="003A367A" w:rsidP="00EA5DDC">
            <w:pPr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NZ"/>
              </w:rPr>
            </w:pPr>
            <w:r w:rsidRPr="0016270D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NZ"/>
              </w:rPr>
              <w:t>*</w:t>
            </w:r>
            <w:proofErr w:type="gramStart"/>
            <w:r w:rsidRPr="0016270D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NZ"/>
              </w:rPr>
              <w:t>see</w:t>
            </w:r>
            <w:proofErr w:type="gramEnd"/>
            <w:r w:rsidRPr="0016270D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NZ"/>
              </w:rPr>
              <w:t xml:space="preserve"> competency framework for behaviours expected at each level</w:t>
            </w:r>
          </w:p>
        </w:tc>
        <w:tc>
          <w:tcPr>
            <w:tcW w:w="2160" w:type="dxa"/>
            <w:tcBorders>
              <w:left w:val="nil"/>
              <w:bottom w:val="single" w:sz="4" w:space="0" w:color="C0C0C0"/>
            </w:tcBorders>
            <w:vAlign w:val="center"/>
          </w:tcPr>
          <w:p w14:paraId="6F10A30C" w14:textId="77777777" w:rsidR="003A367A" w:rsidRPr="0047468C" w:rsidRDefault="003A367A" w:rsidP="00EA5DD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47468C">
              <w:rPr>
                <w:rFonts w:ascii="Arial" w:hAnsi="Arial" w:cs="Arial"/>
                <w:sz w:val="20"/>
                <w:szCs w:val="20"/>
              </w:rPr>
              <w:t>Expected Level</w:t>
            </w:r>
          </w:p>
        </w:tc>
      </w:tr>
      <w:tr w:rsidR="003A367A" w:rsidRPr="0016270D" w14:paraId="2EAD8ADF" w14:textId="77777777" w:rsidTr="00EA5DDC">
        <w:trPr>
          <w:trHeight w:val="1234"/>
        </w:trPr>
        <w:tc>
          <w:tcPr>
            <w:tcW w:w="7488" w:type="dxa"/>
            <w:tcBorders>
              <w:right w:val="nil"/>
            </w:tcBorders>
            <w:vAlign w:val="center"/>
          </w:tcPr>
          <w:p w14:paraId="37E46315" w14:textId="77777777" w:rsidR="003A367A" w:rsidRPr="0016270D" w:rsidRDefault="001F760D" w:rsidP="00EA5DDC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b/>
                <w:color w:val="00703C"/>
                <w:sz w:val="20"/>
                <w:szCs w:val="20"/>
                <w:lang w:bidi="en-US"/>
              </w:rPr>
              <w:t xml:space="preserve">Client </w:t>
            </w:r>
            <w:r w:rsidR="003A367A" w:rsidRPr="0016270D">
              <w:rPr>
                <w:rFonts w:ascii="Arial" w:hAnsi="Arial" w:cs="Arial"/>
                <w:b/>
                <w:color w:val="00703C"/>
                <w:sz w:val="20"/>
                <w:szCs w:val="20"/>
                <w:lang w:bidi="en-US"/>
              </w:rPr>
              <w:t>Driven (Internal &amp; External)</w:t>
            </w:r>
          </w:p>
          <w:p w14:paraId="4FB9ED07" w14:textId="77777777" w:rsidR="003A367A" w:rsidRPr="0016270D" w:rsidRDefault="003A367A" w:rsidP="00EA5DDC">
            <w:pPr>
              <w:spacing w:after="12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A commitment to understanding the needs and best interests of both internal and external </w:t>
            </w:r>
            <w:r w:rsidR="001F76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clients</w:t>
            </w:r>
            <w:r w:rsidRPr="001627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, in order to provide them with outstanding </w:t>
            </w:r>
            <w:r w:rsidR="001F76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client </w:t>
            </w:r>
            <w:r w:rsidRPr="0016270D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service and help them to make informed decisions.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2AC6FB90" w14:textId="77777777" w:rsidR="003A367A" w:rsidRPr="0016270D" w:rsidRDefault="00D8782A" w:rsidP="00EA5DD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sz w:val="20"/>
                <w:szCs w:val="20"/>
              </w:rPr>
              <w:t>Advanced</w:t>
            </w:r>
            <w:r w:rsidR="00C02F4A" w:rsidRPr="00162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A367A" w:rsidRPr="0016270D" w14:paraId="255F0681" w14:textId="77777777" w:rsidTr="00EA5DDC">
        <w:trPr>
          <w:trHeight w:val="1340"/>
        </w:trPr>
        <w:tc>
          <w:tcPr>
            <w:tcW w:w="7488" w:type="dxa"/>
            <w:tcBorders>
              <w:right w:val="nil"/>
            </w:tcBorders>
            <w:vAlign w:val="center"/>
          </w:tcPr>
          <w:p w14:paraId="52B55265" w14:textId="77777777" w:rsidR="003A367A" w:rsidRPr="0016270D" w:rsidRDefault="003A367A" w:rsidP="00EA5DDC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Accountability</w:t>
            </w:r>
          </w:p>
          <w:p w14:paraId="1126CE2D" w14:textId="77777777" w:rsidR="003A367A" w:rsidRPr="0016270D" w:rsidRDefault="003A367A" w:rsidP="00EA5D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Taking personal ownership of decisions, behaviour, and development, and being responsible for how these actions impact on the wider organisation and customers.  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18C053E4" w14:textId="77777777" w:rsidR="003A367A" w:rsidRPr="0016270D" w:rsidRDefault="005F1369" w:rsidP="00EA5DD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Advanced</w:t>
            </w:r>
            <w:r w:rsidR="00C02F4A" w:rsidRPr="00162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A367A" w:rsidRPr="0016270D" w14:paraId="68D77B47" w14:textId="77777777" w:rsidTr="00EA5DDC">
        <w:trPr>
          <w:trHeight w:val="1102"/>
        </w:trPr>
        <w:tc>
          <w:tcPr>
            <w:tcW w:w="7488" w:type="dxa"/>
            <w:tcBorders>
              <w:right w:val="nil"/>
            </w:tcBorders>
            <w:vAlign w:val="center"/>
          </w:tcPr>
          <w:p w14:paraId="498950F0" w14:textId="77777777" w:rsidR="003A367A" w:rsidRPr="0016270D" w:rsidRDefault="003A367A" w:rsidP="00EA5DDC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Adaptability</w:t>
            </w:r>
          </w:p>
          <w:p w14:paraId="33F2EB5E" w14:textId="77777777" w:rsidR="003A367A" w:rsidRPr="0016270D" w:rsidRDefault="003A367A" w:rsidP="00EA5D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/>
              </w:rPr>
              <w:t>Demonstrating a willingness to engage in a changing environment and being flexible and comfortable working with change.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093C495F" w14:textId="13415FE6" w:rsidR="003A367A" w:rsidRPr="0016270D" w:rsidRDefault="004A4824" w:rsidP="00EA5DD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</w:t>
            </w:r>
            <w:r w:rsidR="00805149" w:rsidRPr="00162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A367A" w:rsidRPr="0016270D" w14:paraId="6B33473E" w14:textId="77777777" w:rsidTr="00EA5DDC">
        <w:trPr>
          <w:trHeight w:val="919"/>
        </w:trPr>
        <w:tc>
          <w:tcPr>
            <w:tcW w:w="7488" w:type="dxa"/>
            <w:tcBorders>
              <w:right w:val="nil"/>
            </w:tcBorders>
            <w:vAlign w:val="center"/>
          </w:tcPr>
          <w:p w14:paraId="2DA154B8" w14:textId="77777777" w:rsidR="003A367A" w:rsidRPr="0016270D" w:rsidRDefault="003A367A" w:rsidP="00EA5DDC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Motivation and Drive</w:t>
            </w:r>
          </w:p>
          <w:p w14:paraId="213BEF56" w14:textId="77777777" w:rsidR="003A367A" w:rsidRPr="0016270D" w:rsidRDefault="003A367A" w:rsidP="00EA5D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/>
              </w:rPr>
              <w:t>The determination to achieve goals and strive for excellence.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13597D94" w14:textId="77777777" w:rsidR="003A367A" w:rsidRPr="0016270D" w:rsidRDefault="00C02F4A" w:rsidP="00EA5DD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sz w:val="20"/>
                <w:szCs w:val="20"/>
              </w:rPr>
              <w:t>Intermediate*</w:t>
            </w:r>
          </w:p>
        </w:tc>
      </w:tr>
      <w:tr w:rsidR="003A367A" w:rsidRPr="0016270D" w14:paraId="523E0A56" w14:textId="77777777" w:rsidTr="00EA5DDC">
        <w:trPr>
          <w:trHeight w:val="1050"/>
        </w:trPr>
        <w:tc>
          <w:tcPr>
            <w:tcW w:w="7488" w:type="dxa"/>
            <w:tcBorders>
              <w:right w:val="nil"/>
            </w:tcBorders>
            <w:vAlign w:val="center"/>
          </w:tcPr>
          <w:p w14:paraId="2941035F" w14:textId="77777777" w:rsidR="003A367A" w:rsidRPr="0016270D" w:rsidRDefault="003A367A" w:rsidP="00EA5DDC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lastRenderedPageBreak/>
              <w:t>Relationship Building</w:t>
            </w:r>
          </w:p>
          <w:p w14:paraId="3E2B1214" w14:textId="77777777" w:rsidR="003A367A" w:rsidRPr="0016270D" w:rsidRDefault="003A367A" w:rsidP="00EA5D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/>
              </w:rPr>
              <w:t>Developing and maintaining positive, professional relationships that are built on mutual trust and respect.</w:t>
            </w:r>
          </w:p>
        </w:tc>
        <w:tc>
          <w:tcPr>
            <w:tcW w:w="2160" w:type="dxa"/>
            <w:tcBorders>
              <w:left w:val="nil"/>
              <w:bottom w:val="single" w:sz="4" w:space="0" w:color="C0C0C0"/>
            </w:tcBorders>
            <w:vAlign w:val="center"/>
          </w:tcPr>
          <w:p w14:paraId="15615672" w14:textId="77777777" w:rsidR="003A367A" w:rsidRPr="0016270D" w:rsidRDefault="0035029D" w:rsidP="00EA5DD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sz w:val="20"/>
                <w:szCs w:val="20"/>
              </w:rPr>
              <w:t>Intermediate</w:t>
            </w:r>
            <w:r w:rsidR="00805149" w:rsidRPr="00162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A367A" w:rsidRPr="0016270D" w14:paraId="19245DD1" w14:textId="77777777" w:rsidTr="00EA5DDC">
        <w:trPr>
          <w:trHeight w:val="910"/>
        </w:trPr>
        <w:tc>
          <w:tcPr>
            <w:tcW w:w="7488" w:type="dxa"/>
            <w:tcBorders>
              <w:right w:val="nil"/>
            </w:tcBorders>
            <w:vAlign w:val="center"/>
          </w:tcPr>
          <w:p w14:paraId="311F648D" w14:textId="77777777" w:rsidR="003A367A" w:rsidRPr="0016270D" w:rsidRDefault="003A367A" w:rsidP="00EA5DDC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proofErr w:type="gramStart"/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Team Work</w:t>
            </w:r>
            <w:proofErr w:type="gramEnd"/>
          </w:p>
          <w:p w14:paraId="1C6150DD" w14:textId="77777777" w:rsidR="003A367A" w:rsidRPr="0016270D" w:rsidRDefault="003A367A" w:rsidP="00EA5D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/>
              </w:rPr>
              <w:t>Making a positive contribution to the FMG team and collaborating effectively with others to achieve objectives.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5C67E761" w14:textId="4E08B60C" w:rsidR="003A367A" w:rsidRPr="0016270D" w:rsidRDefault="0036139F" w:rsidP="00EA5DD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824">
              <w:rPr>
                <w:rFonts w:ascii="Arial" w:hAnsi="Arial" w:cs="Arial"/>
                <w:sz w:val="20"/>
                <w:szCs w:val="20"/>
              </w:rPr>
              <w:t>Advanced</w:t>
            </w:r>
            <w:r w:rsidR="00C02F4A" w:rsidRPr="00162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A394C" w:rsidRPr="0016270D" w14:paraId="5ED2C4AA" w14:textId="77777777" w:rsidTr="00EA5DDC">
        <w:trPr>
          <w:trHeight w:val="910"/>
        </w:trPr>
        <w:tc>
          <w:tcPr>
            <w:tcW w:w="7488" w:type="dxa"/>
            <w:tcBorders>
              <w:right w:val="nil"/>
            </w:tcBorders>
            <w:vAlign w:val="center"/>
          </w:tcPr>
          <w:p w14:paraId="232FCBC8" w14:textId="77777777" w:rsidR="007A394C" w:rsidRPr="00E642CD" w:rsidRDefault="007A394C" w:rsidP="007A394C">
            <w:pPr>
              <w:spacing w:before="120" w:after="120"/>
              <w:ind w:right="612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E642CD">
              <w:rPr>
                <w:rFonts w:ascii="Arial" w:hAnsi="Arial" w:cs="Arial"/>
                <w:b/>
                <w:color w:val="00703C"/>
                <w:sz w:val="20"/>
                <w:szCs w:val="20"/>
              </w:rPr>
              <w:t>Motivating and Developing Others</w:t>
            </w:r>
          </w:p>
          <w:p w14:paraId="7BA97B9D" w14:textId="77777777" w:rsidR="007A394C" w:rsidRPr="0016270D" w:rsidRDefault="007A394C" w:rsidP="007A394C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E642CD">
              <w:rPr>
                <w:rFonts w:ascii="Arial" w:hAnsi="Arial" w:cs="Arial"/>
                <w:bCs/>
                <w:sz w:val="20"/>
                <w:szCs w:val="20"/>
                <w:lang w:val="en-NZ"/>
              </w:rPr>
              <w:t>A commitment to getting the best out of people and motivating them to reach their full potential.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2FF82C93" w14:textId="77777777" w:rsidR="007A394C" w:rsidRDefault="007A394C" w:rsidP="007A394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E642CD">
              <w:rPr>
                <w:rFonts w:ascii="Arial" w:hAnsi="Arial" w:cs="Arial"/>
                <w:sz w:val="20"/>
                <w:szCs w:val="20"/>
              </w:rPr>
              <w:t>Intermediate*</w:t>
            </w:r>
          </w:p>
        </w:tc>
      </w:tr>
      <w:tr w:rsidR="007A394C" w:rsidRPr="0016270D" w14:paraId="7A2AEF48" w14:textId="77777777" w:rsidTr="00EA5DDC">
        <w:trPr>
          <w:trHeight w:val="1106"/>
        </w:trPr>
        <w:tc>
          <w:tcPr>
            <w:tcW w:w="7488" w:type="dxa"/>
            <w:tcBorders>
              <w:right w:val="nil"/>
            </w:tcBorders>
            <w:vAlign w:val="center"/>
          </w:tcPr>
          <w:p w14:paraId="56CF8F9D" w14:textId="77777777" w:rsidR="007A394C" w:rsidRPr="0016270D" w:rsidRDefault="007A394C" w:rsidP="007A394C">
            <w:pPr>
              <w:spacing w:before="120" w:after="120"/>
              <w:rPr>
                <w:rFonts w:ascii="Arial" w:hAnsi="Arial" w:cs="Arial"/>
                <w:b/>
                <w:bCs/>
                <w:color w:val="00703C"/>
                <w:sz w:val="20"/>
                <w:szCs w:val="20"/>
                <w:lang w:val="en-NZ"/>
              </w:rPr>
            </w:pPr>
            <w:r w:rsidRPr="0016270D">
              <w:rPr>
                <w:rFonts w:ascii="Arial" w:hAnsi="Arial" w:cs="Arial"/>
                <w:b/>
                <w:bCs/>
                <w:color w:val="00703C"/>
                <w:sz w:val="20"/>
                <w:szCs w:val="20"/>
                <w:lang w:val="en-NZ"/>
              </w:rPr>
              <w:t>Critical Analysis</w:t>
            </w:r>
          </w:p>
          <w:p w14:paraId="73C55C6A" w14:textId="77777777" w:rsidR="007A394C" w:rsidRPr="0016270D" w:rsidRDefault="007A394C" w:rsidP="007A39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/>
              </w:rPr>
              <w:t>The capability to identify key issues, trends, or important facts from information and to question and probe.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75773B4D" w14:textId="77777777" w:rsidR="007A394C" w:rsidRPr="0016270D" w:rsidRDefault="007A394C" w:rsidP="007A394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Advanced </w:t>
            </w:r>
            <w:r w:rsidRPr="00162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A394C" w:rsidRPr="0016270D" w14:paraId="226E84D3" w14:textId="77777777" w:rsidTr="00EA5DDC">
        <w:trPr>
          <w:trHeight w:val="1106"/>
        </w:trPr>
        <w:tc>
          <w:tcPr>
            <w:tcW w:w="7488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C2A962A" w14:textId="77777777" w:rsidR="007A394C" w:rsidRPr="0016270D" w:rsidRDefault="007A394C" w:rsidP="007A394C">
            <w:pPr>
              <w:spacing w:before="120" w:after="120"/>
              <w:rPr>
                <w:rFonts w:ascii="Arial" w:hAnsi="Arial" w:cs="Arial"/>
                <w:b/>
                <w:bCs/>
                <w:color w:val="00703C"/>
                <w:sz w:val="20"/>
                <w:szCs w:val="20"/>
                <w:lang w:val="en-NZ"/>
              </w:rPr>
            </w:pPr>
            <w:r w:rsidRPr="0016270D">
              <w:rPr>
                <w:rFonts w:ascii="Arial" w:hAnsi="Arial" w:cs="Arial"/>
                <w:b/>
                <w:bCs/>
                <w:color w:val="00703C"/>
                <w:sz w:val="20"/>
                <w:szCs w:val="20"/>
                <w:lang w:val="en-NZ"/>
              </w:rPr>
              <w:t>Influencing/Persuading</w:t>
            </w:r>
          </w:p>
          <w:p w14:paraId="68CFB095" w14:textId="77777777" w:rsidR="007A394C" w:rsidRPr="0016270D" w:rsidRDefault="007A394C" w:rsidP="007A394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eastAsia="en-NZ"/>
              </w:rPr>
              <w:t xml:space="preserve">Using rational argument and reasoning to convince others. </w:t>
            </w:r>
            <w:proofErr w:type="gramStart"/>
            <w:r w:rsidRPr="0016270D">
              <w:rPr>
                <w:rFonts w:ascii="Arial" w:hAnsi="Arial" w:cs="Arial"/>
                <w:bCs/>
                <w:sz w:val="20"/>
                <w:szCs w:val="20"/>
                <w:lang w:eastAsia="en-NZ"/>
              </w:rPr>
              <w:t>To not</w:t>
            </w:r>
            <w:proofErr w:type="gramEnd"/>
            <w:r w:rsidRPr="0016270D">
              <w:rPr>
                <w:rFonts w:ascii="Arial" w:hAnsi="Arial" w:cs="Arial"/>
                <w:bCs/>
                <w:sz w:val="20"/>
                <w:szCs w:val="20"/>
                <w:lang w:eastAsia="en-NZ"/>
              </w:rPr>
              <w:t xml:space="preserve"> be afraid to take a stand and to sell a position while keeping the relationship intact.</w:t>
            </w:r>
          </w:p>
        </w:tc>
        <w:tc>
          <w:tcPr>
            <w:tcW w:w="2160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2B6307B" w14:textId="77777777" w:rsidR="007A394C" w:rsidRPr="0016270D" w:rsidRDefault="007A394C" w:rsidP="007A394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Intermediate</w:t>
            </w:r>
            <w:r w:rsidRPr="0016270D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7A394C" w:rsidRPr="0016270D" w14:paraId="0DA35DED" w14:textId="77777777" w:rsidTr="00EA5DDC">
        <w:trPr>
          <w:trHeight w:val="1106"/>
        </w:trPr>
        <w:tc>
          <w:tcPr>
            <w:tcW w:w="7488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4EA5798" w14:textId="77777777" w:rsidR="007A394C" w:rsidRPr="0016270D" w:rsidRDefault="007A394C" w:rsidP="007A394C">
            <w:pPr>
              <w:spacing w:before="120" w:after="120"/>
              <w:rPr>
                <w:rFonts w:ascii="Arial" w:hAnsi="Arial" w:cs="Arial"/>
                <w:b/>
                <w:bCs/>
                <w:color w:val="00703C"/>
                <w:sz w:val="20"/>
                <w:szCs w:val="20"/>
                <w:lang w:val="en-NZ"/>
              </w:rPr>
            </w:pPr>
            <w:r w:rsidRPr="0016270D">
              <w:rPr>
                <w:rFonts w:ascii="Arial" w:hAnsi="Arial" w:cs="Arial"/>
                <w:b/>
                <w:bCs/>
                <w:color w:val="00703C"/>
                <w:sz w:val="20"/>
                <w:szCs w:val="20"/>
                <w:lang w:val="en-NZ"/>
              </w:rPr>
              <w:t>Problem Solving</w:t>
            </w:r>
          </w:p>
          <w:p w14:paraId="2D2F0A88" w14:textId="77777777" w:rsidR="007A394C" w:rsidRPr="0016270D" w:rsidRDefault="007A394C" w:rsidP="007A394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en-NZ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eastAsia="en-NZ"/>
              </w:rPr>
              <w:t>The ability to understand information from a variety of sources and think quickly on one’s feet. The ability to effectively combine verbal and numeric data into a coherent whole.</w:t>
            </w:r>
          </w:p>
        </w:tc>
        <w:tc>
          <w:tcPr>
            <w:tcW w:w="2160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0B3D29C" w14:textId="77777777" w:rsidR="007A394C" w:rsidRPr="0016270D" w:rsidRDefault="007A394C" w:rsidP="007A394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sz w:val="20"/>
                <w:szCs w:val="20"/>
              </w:rPr>
              <w:t>Advanced*</w:t>
            </w:r>
          </w:p>
        </w:tc>
      </w:tr>
      <w:tr w:rsidR="007A394C" w:rsidRPr="00527926" w14:paraId="70A9FDE5" w14:textId="77777777" w:rsidTr="00EA5DDC">
        <w:trPr>
          <w:trHeight w:val="1106"/>
        </w:trPr>
        <w:tc>
          <w:tcPr>
            <w:tcW w:w="7488" w:type="dxa"/>
            <w:tcBorders>
              <w:top w:val="single" w:sz="4" w:space="0" w:color="C0C0C0"/>
              <w:bottom w:val="nil"/>
              <w:right w:val="nil"/>
            </w:tcBorders>
            <w:vAlign w:val="center"/>
          </w:tcPr>
          <w:p w14:paraId="4F5709DD" w14:textId="77777777" w:rsidR="007A394C" w:rsidRPr="00592D5E" w:rsidRDefault="007A394C" w:rsidP="007A394C">
            <w:pPr>
              <w:spacing w:before="120" w:after="120"/>
              <w:rPr>
                <w:rFonts w:ascii="Arial" w:hAnsi="Arial" w:cs="Arial"/>
                <w:b/>
                <w:bCs/>
                <w:color w:val="00703C"/>
                <w:sz w:val="20"/>
                <w:szCs w:val="20"/>
                <w:lang w:val="en-NZ"/>
              </w:rPr>
            </w:pPr>
            <w:r w:rsidRPr="00592D5E">
              <w:rPr>
                <w:rFonts w:ascii="Arial" w:hAnsi="Arial" w:cs="Arial"/>
                <w:b/>
                <w:bCs/>
                <w:color w:val="00703C"/>
                <w:sz w:val="20"/>
                <w:szCs w:val="20"/>
                <w:lang w:val="en-NZ"/>
              </w:rPr>
              <w:t>Change Leadership</w:t>
            </w:r>
          </w:p>
          <w:p w14:paraId="5922548A" w14:textId="77777777" w:rsidR="007A394C" w:rsidRPr="00592D5E" w:rsidRDefault="007A394C" w:rsidP="007A394C">
            <w:pPr>
              <w:spacing w:before="120" w:after="120"/>
              <w:rPr>
                <w:rFonts w:ascii="Arial" w:hAnsi="Arial" w:cs="Arial"/>
                <w:b/>
                <w:bCs/>
                <w:color w:val="00703C"/>
                <w:sz w:val="20"/>
                <w:szCs w:val="20"/>
                <w:lang w:val="en-NZ"/>
              </w:rPr>
            </w:pPr>
            <w:r w:rsidRPr="00592D5E">
              <w:rPr>
                <w:rFonts w:ascii="Arial" w:hAnsi="Arial" w:cs="Arial"/>
                <w:bCs/>
                <w:sz w:val="20"/>
                <w:szCs w:val="20"/>
                <w:lang w:eastAsia="en-NZ"/>
              </w:rPr>
              <w:t>The drive to initiate opportunities to address FMG’s organisational needs and to communicate change in a way that gains buy-in and support from others.</w:t>
            </w:r>
          </w:p>
        </w:tc>
        <w:tc>
          <w:tcPr>
            <w:tcW w:w="2160" w:type="dxa"/>
            <w:tcBorders>
              <w:top w:val="single" w:sz="4" w:space="0" w:color="C0C0C0"/>
              <w:left w:val="nil"/>
              <w:bottom w:val="nil"/>
            </w:tcBorders>
            <w:vAlign w:val="center"/>
          </w:tcPr>
          <w:p w14:paraId="15120DD9" w14:textId="77777777" w:rsidR="007A394C" w:rsidRPr="00527926" w:rsidRDefault="007A394C" w:rsidP="007A394C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sz w:val="20"/>
                <w:szCs w:val="20"/>
              </w:rPr>
              <w:t>Intermediate</w:t>
            </w:r>
            <w:r w:rsidDel="003613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447E1FA5" w14:textId="77777777" w:rsidR="001F14A0" w:rsidRDefault="001F14A0" w:rsidP="00EA5DDC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0A0" w:firstRow="1" w:lastRow="0" w:firstColumn="1" w:lastColumn="0" w:noHBand="0" w:noVBand="0"/>
      </w:tblPr>
      <w:tblGrid>
        <w:gridCol w:w="2879"/>
        <w:gridCol w:w="6769"/>
      </w:tblGrid>
      <w:tr w:rsidR="003A367A" w:rsidRPr="0016270D" w14:paraId="103C0BF4" w14:textId="77777777" w:rsidTr="0081130E">
        <w:trPr>
          <w:trHeight w:val="441"/>
        </w:trPr>
        <w:tc>
          <w:tcPr>
            <w:tcW w:w="9648" w:type="dxa"/>
            <w:gridSpan w:val="2"/>
            <w:shd w:val="clear" w:color="auto" w:fill="00703C"/>
            <w:vAlign w:val="center"/>
          </w:tcPr>
          <w:p w14:paraId="3590D4AF" w14:textId="77777777" w:rsidR="003A367A" w:rsidRPr="0016270D" w:rsidRDefault="003A367A" w:rsidP="008703D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KNOWLEDGE</w:t>
            </w:r>
          </w:p>
        </w:tc>
      </w:tr>
      <w:tr w:rsidR="003A367A" w:rsidRPr="0016270D" w14:paraId="656691A5" w14:textId="77777777" w:rsidTr="00F66A5F">
        <w:trPr>
          <w:trHeight w:val="561"/>
        </w:trPr>
        <w:tc>
          <w:tcPr>
            <w:tcW w:w="2879" w:type="dxa"/>
            <w:vAlign w:val="center"/>
          </w:tcPr>
          <w:p w14:paraId="6AA342F7" w14:textId="77777777" w:rsidR="003A367A" w:rsidRPr="0016270D" w:rsidRDefault="003A367A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Qualifications</w:t>
            </w:r>
          </w:p>
        </w:tc>
        <w:tc>
          <w:tcPr>
            <w:tcW w:w="6769" w:type="dxa"/>
            <w:vAlign w:val="center"/>
          </w:tcPr>
          <w:p w14:paraId="144CE7D5" w14:textId="77777777" w:rsidR="003A367A" w:rsidRPr="0016270D" w:rsidRDefault="00CE546E" w:rsidP="00EA5DDC">
            <w:pPr>
              <w:rPr>
                <w:rFonts w:ascii="Arial" w:hAnsi="Arial" w:cs="Arial"/>
                <w:bCs/>
                <w:sz w:val="20"/>
                <w:szCs w:val="20"/>
                <w:lang w:eastAsia="en-NZ"/>
              </w:rPr>
            </w:pPr>
            <w:r w:rsidRPr="0016270D">
              <w:rPr>
                <w:rFonts w:ascii="Arial" w:hAnsi="Arial" w:cs="Arial"/>
                <w:sz w:val="20"/>
                <w:szCs w:val="20"/>
                <w:lang w:val="en-NZ"/>
              </w:rPr>
              <w:t xml:space="preserve">Relevant </w:t>
            </w:r>
            <w:r w:rsidR="009A7B86">
              <w:rPr>
                <w:rFonts w:ascii="Arial" w:hAnsi="Arial" w:cs="Arial"/>
                <w:sz w:val="20"/>
                <w:szCs w:val="20"/>
                <w:lang w:val="en-NZ"/>
              </w:rPr>
              <w:t>t</w:t>
            </w:r>
            <w:r w:rsidRPr="0016270D">
              <w:rPr>
                <w:rFonts w:ascii="Arial" w:hAnsi="Arial" w:cs="Arial"/>
                <w:sz w:val="20"/>
                <w:szCs w:val="20"/>
                <w:lang w:val="en-NZ"/>
              </w:rPr>
              <w:t xml:space="preserve">ertiary </w:t>
            </w:r>
            <w:r w:rsidR="009A7B86">
              <w:rPr>
                <w:rFonts w:ascii="Arial" w:hAnsi="Arial" w:cs="Arial"/>
                <w:sz w:val="20"/>
                <w:szCs w:val="20"/>
                <w:lang w:val="en-NZ"/>
              </w:rPr>
              <w:t>q</w:t>
            </w:r>
            <w:r w:rsidRPr="0016270D">
              <w:rPr>
                <w:rFonts w:ascii="Arial" w:hAnsi="Arial" w:cs="Arial"/>
                <w:sz w:val="20"/>
                <w:szCs w:val="20"/>
                <w:lang w:val="en-NZ"/>
              </w:rPr>
              <w:t xml:space="preserve">ualification </w:t>
            </w:r>
            <w:r w:rsidR="009161F9" w:rsidRPr="0016270D">
              <w:rPr>
                <w:rFonts w:ascii="Arial" w:hAnsi="Arial" w:cs="Arial"/>
                <w:sz w:val="20"/>
                <w:szCs w:val="20"/>
                <w:lang w:val="en-NZ"/>
              </w:rPr>
              <w:t>required</w:t>
            </w:r>
          </w:p>
        </w:tc>
      </w:tr>
      <w:tr w:rsidR="009161F9" w:rsidRPr="0016270D" w14:paraId="060D7EB3" w14:textId="77777777" w:rsidTr="009161F9">
        <w:trPr>
          <w:trHeight w:val="561"/>
        </w:trPr>
        <w:tc>
          <w:tcPr>
            <w:tcW w:w="287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AEE5AC8" w14:textId="77777777" w:rsidR="009161F9" w:rsidRPr="0016270D" w:rsidRDefault="009161F9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E</w:t>
            </w:r>
            <w:r w:rsidR="00FB7660">
              <w:rPr>
                <w:rFonts w:ascii="Arial" w:hAnsi="Arial" w:cs="Arial"/>
                <w:b/>
                <w:color w:val="00703C"/>
                <w:sz w:val="20"/>
                <w:szCs w:val="20"/>
              </w:rPr>
              <w:t>xperience</w:t>
            </w:r>
          </w:p>
        </w:tc>
        <w:tc>
          <w:tcPr>
            <w:tcW w:w="676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51D7D74" w14:textId="77777777" w:rsidR="009161F9" w:rsidRPr="0016270D" w:rsidRDefault="009161F9" w:rsidP="00EA5DDC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  <w:p w14:paraId="276299F8" w14:textId="77777777" w:rsidR="009161F9" w:rsidRDefault="009161F9" w:rsidP="00EA5DDC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16270D">
              <w:rPr>
                <w:rFonts w:ascii="Arial" w:hAnsi="Arial" w:cs="Arial"/>
                <w:sz w:val="20"/>
                <w:szCs w:val="20"/>
                <w:lang w:val="en-NZ"/>
              </w:rPr>
              <w:t>5 years</w:t>
            </w:r>
            <w:r w:rsidR="00946B3D">
              <w:rPr>
                <w:rFonts w:ascii="Arial" w:hAnsi="Arial" w:cs="Arial"/>
                <w:sz w:val="20"/>
                <w:szCs w:val="20"/>
                <w:lang w:val="en-NZ"/>
              </w:rPr>
              <w:t>’</w:t>
            </w:r>
            <w:r w:rsidRPr="0016270D">
              <w:rPr>
                <w:rFonts w:ascii="Arial" w:hAnsi="Arial" w:cs="Arial"/>
                <w:sz w:val="20"/>
                <w:szCs w:val="20"/>
                <w:lang w:val="en-NZ"/>
              </w:rPr>
              <w:t xml:space="preserve"> Financial/Insurance Industry experience</w:t>
            </w:r>
          </w:p>
          <w:p w14:paraId="0CB975DF" w14:textId="77777777" w:rsidR="00946B3D" w:rsidRPr="0016270D" w:rsidRDefault="00946B3D" w:rsidP="00EA5DDC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5 years’ experience working within rural NZ, with a strong knowledge of </w:t>
            </w:r>
            <w:r w:rsidR="009A7B86">
              <w:rPr>
                <w:rFonts w:ascii="Arial" w:hAnsi="Arial" w:cs="Arial"/>
                <w:sz w:val="20"/>
                <w:szCs w:val="20"/>
                <w:lang w:val="en-NZ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arming </w:t>
            </w:r>
            <w:r w:rsidR="009A7B86">
              <w:rPr>
                <w:rFonts w:ascii="Arial" w:hAnsi="Arial" w:cs="Arial"/>
                <w:sz w:val="20"/>
                <w:szCs w:val="20"/>
                <w:lang w:val="en-NZ"/>
              </w:rPr>
              <w:t>and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  <w:r w:rsidR="009A7B86">
              <w:rPr>
                <w:rFonts w:ascii="Arial" w:hAnsi="Arial" w:cs="Arial"/>
                <w:sz w:val="20"/>
                <w:szCs w:val="20"/>
                <w:lang w:val="en-NZ"/>
              </w:rPr>
              <w:t>g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rowing operations</w:t>
            </w:r>
          </w:p>
          <w:p w14:paraId="41EB9705" w14:textId="77777777" w:rsidR="009161F9" w:rsidRPr="0016270D" w:rsidRDefault="009161F9" w:rsidP="00EA5DDC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eastAsia="en-NZ"/>
              </w:rPr>
            </w:pPr>
          </w:p>
        </w:tc>
      </w:tr>
      <w:tr w:rsidR="003A367A" w:rsidRPr="0016270D" w14:paraId="37FDBE0E" w14:textId="77777777" w:rsidTr="00F66A5F">
        <w:trPr>
          <w:trHeight w:val="1026"/>
        </w:trPr>
        <w:tc>
          <w:tcPr>
            <w:tcW w:w="2879" w:type="dxa"/>
            <w:vAlign w:val="center"/>
          </w:tcPr>
          <w:p w14:paraId="4EC2515F" w14:textId="77777777" w:rsidR="003A367A" w:rsidRPr="0016270D" w:rsidRDefault="003A367A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Business Awareness</w:t>
            </w:r>
          </w:p>
        </w:tc>
        <w:tc>
          <w:tcPr>
            <w:tcW w:w="6769" w:type="dxa"/>
            <w:vAlign w:val="center"/>
          </w:tcPr>
          <w:p w14:paraId="0FB89A22" w14:textId="77777777" w:rsidR="003A367A" w:rsidRPr="0016270D" w:rsidRDefault="003A367A" w:rsidP="00EA5DDC">
            <w:pPr>
              <w:rPr>
                <w:rFonts w:ascii="Arial" w:hAnsi="Arial" w:cs="Arial"/>
                <w:bCs/>
                <w:sz w:val="20"/>
                <w:szCs w:val="20"/>
                <w:lang w:eastAsia="en-NZ"/>
              </w:rPr>
            </w:pPr>
            <w:r w:rsidRPr="0016270D">
              <w:rPr>
                <w:rFonts w:ascii="Arial" w:hAnsi="Arial" w:cs="Arial"/>
                <w:sz w:val="20"/>
                <w:szCs w:val="20"/>
                <w:lang w:val="en-NZ"/>
              </w:rPr>
              <w:t>Understands the internal workings of FMG and how business works; understands FMG's position in the advice and insurance market and knows the competition.</w:t>
            </w:r>
          </w:p>
        </w:tc>
      </w:tr>
      <w:tr w:rsidR="00CE546E" w:rsidRPr="0016270D" w14:paraId="1A10815A" w14:textId="77777777" w:rsidTr="00F66A5F">
        <w:trPr>
          <w:trHeight w:val="1026"/>
        </w:trPr>
        <w:tc>
          <w:tcPr>
            <w:tcW w:w="2879" w:type="dxa"/>
            <w:vAlign w:val="center"/>
          </w:tcPr>
          <w:p w14:paraId="1C70DF4D" w14:textId="77777777" w:rsidR="00CE546E" w:rsidRPr="0016270D" w:rsidRDefault="00CE546E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Rural Knowledge</w:t>
            </w:r>
          </w:p>
        </w:tc>
        <w:tc>
          <w:tcPr>
            <w:tcW w:w="6769" w:type="dxa"/>
            <w:vAlign w:val="center"/>
          </w:tcPr>
          <w:p w14:paraId="31335A00" w14:textId="77777777" w:rsidR="00CE546E" w:rsidRPr="0016270D" w:rsidRDefault="001F760D" w:rsidP="00EA5DDC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Deep understanding of</w:t>
            </w:r>
            <w:r w:rsidR="00CE546E" w:rsidRPr="0016270D">
              <w:rPr>
                <w:rFonts w:ascii="Arial" w:hAnsi="Arial" w:cs="Arial"/>
                <w:sz w:val="20"/>
                <w:szCs w:val="20"/>
                <w:lang w:val="en-NZ"/>
              </w:rPr>
              <w:t xml:space="preserve"> the rural community and keep up to date with the economic, political, and environmental issues affecting our customers.</w:t>
            </w:r>
          </w:p>
        </w:tc>
      </w:tr>
      <w:tr w:rsidR="00CE546E" w:rsidRPr="0016270D" w14:paraId="4E391269" w14:textId="77777777" w:rsidTr="00F66A5F">
        <w:trPr>
          <w:trHeight w:val="1026"/>
        </w:trPr>
        <w:tc>
          <w:tcPr>
            <w:tcW w:w="2879" w:type="dxa"/>
            <w:vAlign w:val="center"/>
          </w:tcPr>
          <w:p w14:paraId="063F1AE3" w14:textId="77777777" w:rsidR="00CE546E" w:rsidRPr="0016270D" w:rsidRDefault="00CE546E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lastRenderedPageBreak/>
              <w:t>Knowledge</w:t>
            </w:r>
            <w:r w:rsidR="004B0C3F">
              <w:rPr>
                <w:rFonts w:ascii="Arial" w:hAnsi="Arial" w:cs="Arial"/>
                <w:b/>
                <w:color w:val="00703C"/>
                <w:sz w:val="20"/>
                <w:szCs w:val="20"/>
              </w:rPr>
              <w:t xml:space="preserve"> of Insurance Risks</w:t>
            </w:r>
          </w:p>
        </w:tc>
        <w:tc>
          <w:tcPr>
            <w:tcW w:w="6769" w:type="dxa"/>
            <w:vAlign w:val="center"/>
          </w:tcPr>
          <w:p w14:paraId="3DF72AFD" w14:textId="77777777" w:rsidR="00CE546E" w:rsidRPr="0016270D" w:rsidRDefault="00CE546E" w:rsidP="00EA5DDC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16270D">
              <w:rPr>
                <w:rFonts w:ascii="Arial" w:hAnsi="Arial" w:cs="Arial"/>
                <w:sz w:val="20"/>
                <w:szCs w:val="20"/>
                <w:lang w:val="en-NZ"/>
              </w:rPr>
              <w:t xml:space="preserve">Understands </w:t>
            </w:r>
            <w:r w:rsidR="004B0C3F">
              <w:rPr>
                <w:rFonts w:ascii="Arial" w:hAnsi="Arial" w:cs="Arial"/>
                <w:sz w:val="20"/>
                <w:szCs w:val="20"/>
                <w:lang w:val="en-NZ"/>
              </w:rPr>
              <w:t xml:space="preserve">insurance </w:t>
            </w:r>
            <w:r w:rsidRPr="0016270D">
              <w:rPr>
                <w:rFonts w:ascii="Arial" w:hAnsi="Arial" w:cs="Arial"/>
                <w:sz w:val="20"/>
                <w:szCs w:val="20"/>
                <w:lang w:val="en-NZ"/>
              </w:rPr>
              <w:t>risk</w:t>
            </w:r>
            <w:r w:rsidR="004B0C3F">
              <w:rPr>
                <w:rFonts w:ascii="Arial" w:hAnsi="Arial" w:cs="Arial"/>
                <w:sz w:val="20"/>
                <w:szCs w:val="20"/>
                <w:lang w:val="en-NZ"/>
              </w:rPr>
              <w:t>s</w:t>
            </w:r>
            <w:r w:rsidRPr="0016270D">
              <w:rPr>
                <w:rFonts w:ascii="Arial" w:hAnsi="Arial" w:cs="Arial"/>
                <w:sz w:val="20"/>
                <w:szCs w:val="20"/>
                <w:lang w:val="en-NZ"/>
              </w:rPr>
              <w:t xml:space="preserve"> and how to apply FMG's policies to situations; is knowledgeable about compliance requirements; understands the insurance process and how claims are managed; knows industry partners and competitors.</w:t>
            </w:r>
          </w:p>
        </w:tc>
      </w:tr>
      <w:tr w:rsidR="003A367A" w:rsidRPr="0016270D" w14:paraId="54694AC4" w14:textId="77777777" w:rsidTr="00F66A5F">
        <w:trPr>
          <w:trHeight w:val="924"/>
        </w:trPr>
        <w:tc>
          <w:tcPr>
            <w:tcW w:w="2879" w:type="dxa"/>
            <w:vAlign w:val="center"/>
          </w:tcPr>
          <w:p w14:paraId="7E843290" w14:textId="77777777" w:rsidR="003A367A" w:rsidRPr="0016270D" w:rsidRDefault="00430E83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Legal Knowledge</w:t>
            </w:r>
          </w:p>
        </w:tc>
        <w:tc>
          <w:tcPr>
            <w:tcW w:w="6769" w:type="dxa"/>
            <w:vAlign w:val="center"/>
          </w:tcPr>
          <w:p w14:paraId="3094B826" w14:textId="77777777" w:rsidR="003A367A" w:rsidRPr="0016270D" w:rsidRDefault="00430E83" w:rsidP="00EA5DDC">
            <w:pPr>
              <w:rPr>
                <w:rFonts w:ascii="Arial" w:hAnsi="Arial" w:cs="Arial"/>
                <w:bCs/>
                <w:sz w:val="20"/>
                <w:szCs w:val="20"/>
                <w:lang w:eastAsia="en-NZ"/>
              </w:rPr>
            </w:pPr>
            <w:r w:rsidRPr="0016270D">
              <w:rPr>
                <w:rFonts w:ascii="Arial" w:hAnsi="Arial" w:cs="Arial"/>
                <w:sz w:val="20"/>
                <w:szCs w:val="20"/>
              </w:rPr>
              <w:t>Has legal knowledge</w:t>
            </w:r>
            <w:r w:rsidR="001F760D">
              <w:rPr>
                <w:rFonts w:ascii="Arial" w:hAnsi="Arial" w:cs="Arial"/>
                <w:sz w:val="20"/>
                <w:szCs w:val="20"/>
              </w:rPr>
              <w:t>, such as,</w:t>
            </w:r>
            <w:r w:rsidRPr="0016270D">
              <w:rPr>
                <w:rFonts w:ascii="Arial" w:hAnsi="Arial" w:cs="Arial"/>
                <w:sz w:val="20"/>
                <w:szCs w:val="20"/>
              </w:rPr>
              <w:t xml:space="preserve"> indemnity, liability, the Privacy</w:t>
            </w:r>
            <w:r w:rsidR="001F760D">
              <w:rPr>
                <w:rFonts w:ascii="Arial" w:hAnsi="Arial" w:cs="Arial"/>
                <w:sz w:val="20"/>
                <w:szCs w:val="20"/>
              </w:rPr>
              <w:t xml:space="preserve"> Act and the Financial Advisers Act</w:t>
            </w:r>
            <w:r w:rsidRPr="001627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6662D8C" w14:textId="77777777" w:rsidR="0035029D" w:rsidRPr="0016270D" w:rsidRDefault="0035029D" w:rsidP="00EA5DDC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0A0" w:firstRow="1" w:lastRow="0" w:firstColumn="1" w:lastColumn="0" w:noHBand="0" w:noVBand="0"/>
      </w:tblPr>
      <w:tblGrid>
        <w:gridCol w:w="2891"/>
        <w:gridCol w:w="6757"/>
      </w:tblGrid>
      <w:tr w:rsidR="003A367A" w:rsidRPr="0016270D" w14:paraId="681C1281" w14:textId="77777777" w:rsidTr="0081130E">
        <w:trPr>
          <w:trHeight w:val="539"/>
        </w:trPr>
        <w:tc>
          <w:tcPr>
            <w:tcW w:w="9648" w:type="dxa"/>
            <w:gridSpan w:val="2"/>
            <w:shd w:val="clear" w:color="auto" w:fill="00703C"/>
            <w:vAlign w:val="center"/>
          </w:tcPr>
          <w:p w14:paraId="78EE46B9" w14:textId="77777777" w:rsidR="003A367A" w:rsidRPr="0016270D" w:rsidRDefault="003A367A" w:rsidP="008703D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16270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NZ"/>
              </w:rPr>
              <w:t>SKILLS</w:t>
            </w:r>
          </w:p>
        </w:tc>
      </w:tr>
      <w:tr w:rsidR="003A367A" w:rsidRPr="0016270D" w14:paraId="2CE3A015" w14:textId="77777777" w:rsidTr="00EA5DDC">
        <w:trPr>
          <w:trHeight w:val="555"/>
        </w:trPr>
        <w:tc>
          <w:tcPr>
            <w:tcW w:w="2891" w:type="dxa"/>
            <w:tcBorders>
              <w:right w:val="nil"/>
            </w:tcBorders>
            <w:vAlign w:val="center"/>
          </w:tcPr>
          <w:p w14:paraId="17FEBCE7" w14:textId="77777777" w:rsidR="003A367A" w:rsidRPr="0016270D" w:rsidRDefault="003A367A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Written Communication Skills</w:t>
            </w:r>
          </w:p>
        </w:tc>
        <w:tc>
          <w:tcPr>
            <w:tcW w:w="6757" w:type="dxa"/>
            <w:tcBorders>
              <w:left w:val="nil"/>
            </w:tcBorders>
            <w:vAlign w:val="center"/>
          </w:tcPr>
          <w:p w14:paraId="22A19BD3" w14:textId="77777777" w:rsidR="003A367A" w:rsidRPr="0016270D" w:rsidRDefault="003A367A" w:rsidP="00EA5DDC">
            <w:pPr>
              <w:rPr>
                <w:rFonts w:ascii="Arial" w:hAnsi="Arial" w:cs="Arial"/>
                <w:bCs/>
                <w:sz w:val="20"/>
                <w:szCs w:val="20"/>
                <w:lang w:eastAsia="en-NZ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Able to write clear, concise and persuasive proposals and reports.</w:t>
            </w:r>
          </w:p>
        </w:tc>
      </w:tr>
      <w:tr w:rsidR="003A367A" w:rsidRPr="0016270D" w14:paraId="3887C668" w14:textId="77777777" w:rsidTr="00EA5DDC">
        <w:trPr>
          <w:trHeight w:val="634"/>
        </w:trPr>
        <w:tc>
          <w:tcPr>
            <w:tcW w:w="2891" w:type="dxa"/>
            <w:tcBorders>
              <w:right w:val="nil"/>
            </w:tcBorders>
            <w:vAlign w:val="center"/>
          </w:tcPr>
          <w:p w14:paraId="33810279" w14:textId="77777777" w:rsidR="003A367A" w:rsidRPr="0016270D" w:rsidRDefault="003A367A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Verbal Communications Skills</w:t>
            </w:r>
          </w:p>
        </w:tc>
        <w:tc>
          <w:tcPr>
            <w:tcW w:w="6757" w:type="dxa"/>
            <w:tcBorders>
              <w:left w:val="nil"/>
            </w:tcBorders>
            <w:vAlign w:val="center"/>
          </w:tcPr>
          <w:p w14:paraId="7748A250" w14:textId="77777777" w:rsidR="003A367A" w:rsidRPr="0016270D" w:rsidRDefault="003A367A" w:rsidP="00EA5DDC">
            <w:pPr>
              <w:rPr>
                <w:rFonts w:ascii="Arial" w:hAnsi="Arial" w:cs="Arial"/>
                <w:bCs/>
                <w:sz w:val="20"/>
                <w:szCs w:val="20"/>
                <w:lang w:eastAsia="en-NZ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Communicates clearly in order to present information to persuade and influence others.</w:t>
            </w:r>
          </w:p>
        </w:tc>
      </w:tr>
      <w:tr w:rsidR="003A367A" w:rsidRPr="0016270D" w14:paraId="2487E617" w14:textId="77777777" w:rsidTr="00EA5DDC">
        <w:trPr>
          <w:trHeight w:val="876"/>
        </w:trPr>
        <w:tc>
          <w:tcPr>
            <w:tcW w:w="2891" w:type="dxa"/>
            <w:tcBorders>
              <w:right w:val="nil"/>
            </w:tcBorders>
            <w:vAlign w:val="center"/>
          </w:tcPr>
          <w:p w14:paraId="4BD35A9F" w14:textId="77777777" w:rsidR="003A367A" w:rsidRPr="0016270D" w:rsidRDefault="003A367A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Listening Skills</w:t>
            </w:r>
          </w:p>
        </w:tc>
        <w:tc>
          <w:tcPr>
            <w:tcW w:w="6757" w:type="dxa"/>
            <w:tcBorders>
              <w:left w:val="nil"/>
            </w:tcBorders>
            <w:vAlign w:val="center"/>
          </w:tcPr>
          <w:p w14:paraId="0648739C" w14:textId="77777777" w:rsidR="00430E83" w:rsidRPr="0016270D" w:rsidRDefault="003A367A" w:rsidP="00EA5DDC">
            <w:pPr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</w:pPr>
            <w:r w:rsidRPr="0016270D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Demonstrates active listening skills through eye contact, paraphrasing, appropriate body language and checking understanding.</w:t>
            </w:r>
          </w:p>
        </w:tc>
      </w:tr>
      <w:tr w:rsidR="003574D5" w:rsidRPr="0016270D" w14:paraId="79E1F0F1" w14:textId="77777777" w:rsidTr="00EA5DDC">
        <w:trPr>
          <w:trHeight w:val="876"/>
        </w:trPr>
        <w:tc>
          <w:tcPr>
            <w:tcW w:w="2891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C92BF99" w14:textId="77777777" w:rsidR="003574D5" w:rsidRPr="0016270D" w:rsidRDefault="003574D5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637283">
              <w:rPr>
                <w:rFonts w:ascii="Arial" w:hAnsi="Arial" w:cs="Arial"/>
                <w:b/>
                <w:color w:val="00703C"/>
                <w:sz w:val="20"/>
                <w:szCs w:val="20"/>
              </w:rPr>
              <w:t>Financial Skills</w:t>
            </w:r>
          </w:p>
        </w:tc>
        <w:tc>
          <w:tcPr>
            <w:tcW w:w="6757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4CD0FBE" w14:textId="77777777" w:rsidR="003574D5" w:rsidRPr="0016270D" w:rsidRDefault="003574D5" w:rsidP="00EA5DDC">
            <w:pPr>
              <w:rPr>
                <w:rFonts w:ascii="Arial" w:hAnsi="Arial" w:cs="Arial"/>
                <w:sz w:val="20"/>
                <w:szCs w:val="20"/>
              </w:rPr>
            </w:pPr>
            <w:r w:rsidRPr="00637283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Able to calculate and understand financial information e.g. profit &amp; loss, forecasts.</w:t>
            </w:r>
          </w:p>
        </w:tc>
      </w:tr>
      <w:tr w:rsidR="003574D5" w:rsidRPr="0016270D" w14:paraId="5049993C" w14:textId="77777777" w:rsidTr="00EA5DDC">
        <w:trPr>
          <w:trHeight w:val="876"/>
        </w:trPr>
        <w:tc>
          <w:tcPr>
            <w:tcW w:w="2891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BE556BE" w14:textId="77777777" w:rsidR="003574D5" w:rsidRPr="0016270D" w:rsidRDefault="003574D5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Technology Skills</w:t>
            </w:r>
          </w:p>
        </w:tc>
        <w:tc>
          <w:tcPr>
            <w:tcW w:w="6757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83DA757" w14:textId="3F3CCCBE" w:rsidR="003574D5" w:rsidRPr="0016270D" w:rsidRDefault="003574D5" w:rsidP="00EA5DDC">
            <w:pPr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</w:pPr>
            <w:proofErr w:type="gramStart"/>
            <w:r w:rsidRPr="0016270D">
              <w:rPr>
                <w:rFonts w:ascii="Arial" w:hAnsi="Arial" w:cs="Arial"/>
                <w:sz w:val="20"/>
                <w:szCs w:val="20"/>
              </w:rPr>
              <w:t>Can</w:t>
            </w:r>
            <w:proofErr w:type="gramEnd"/>
            <w:r w:rsidRPr="0016270D">
              <w:rPr>
                <w:rFonts w:ascii="Arial" w:hAnsi="Arial" w:cs="Arial"/>
                <w:sz w:val="20"/>
                <w:szCs w:val="20"/>
              </w:rPr>
              <w:t xml:space="preserve"> expertly use relevant software and </w:t>
            </w:r>
            <w:r w:rsidR="001E1D16" w:rsidRPr="0016270D">
              <w:rPr>
                <w:rFonts w:ascii="Arial" w:hAnsi="Arial" w:cs="Arial"/>
                <w:sz w:val="20"/>
                <w:szCs w:val="20"/>
              </w:rPr>
              <w:t>technology</w:t>
            </w:r>
            <w:r w:rsidRPr="0016270D">
              <w:rPr>
                <w:rFonts w:ascii="Arial" w:hAnsi="Arial" w:cs="Arial"/>
                <w:sz w:val="20"/>
                <w:szCs w:val="20"/>
              </w:rPr>
              <w:t xml:space="preserve"> to its full capacity e.g. MS Word, Excel and PowerPoint.</w:t>
            </w:r>
          </w:p>
        </w:tc>
      </w:tr>
      <w:tr w:rsidR="003574D5" w:rsidRPr="0016270D" w14:paraId="79C93106" w14:textId="77777777" w:rsidTr="00EA5DDC">
        <w:trPr>
          <w:trHeight w:val="876"/>
        </w:trPr>
        <w:tc>
          <w:tcPr>
            <w:tcW w:w="2891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2886A77" w14:textId="77777777" w:rsidR="003574D5" w:rsidRPr="0016270D" w:rsidRDefault="003574D5" w:rsidP="00EA5DDC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16270D">
              <w:rPr>
                <w:rFonts w:ascii="Arial" w:hAnsi="Arial" w:cs="Arial"/>
                <w:b/>
                <w:color w:val="00703C"/>
                <w:sz w:val="20"/>
                <w:szCs w:val="20"/>
              </w:rPr>
              <w:t>Risk Assessment Skills</w:t>
            </w:r>
          </w:p>
        </w:tc>
        <w:tc>
          <w:tcPr>
            <w:tcW w:w="6757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6691EA3" w14:textId="77777777" w:rsidR="003574D5" w:rsidRPr="0016270D" w:rsidRDefault="003574D5" w:rsidP="00EA5DDC">
            <w:pPr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</w:pPr>
            <w:r w:rsidRPr="0016270D">
              <w:rPr>
                <w:rFonts w:ascii="Arial" w:hAnsi="Arial" w:cs="Arial"/>
                <w:sz w:val="20"/>
                <w:szCs w:val="20"/>
                <w:lang w:val="en-NZ"/>
              </w:rPr>
              <w:t>Identifies, understands and mitigates the risks that may impact on FMG's strategy, initiatives and reputation.</w:t>
            </w:r>
          </w:p>
        </w:tc>
      </w:tr>
    </w:tbl>
    <w:p w14:paraId="366A9CE8" w14:textId="77777777" w:rsidR="001F14A0" w:rsidRPr="001F14A0" w:rsidRDefault="001F14A0" w:rsidP="00EA5DDC"/>
    <w:p w14:paraId="33122F26" w14:textId="77777777" w:rsidR="00B85400" w:rsidRPr="0016270D" w:rsidRDefault="00106A67" w:rsidP="00EA5DDC">
      <w:pPr>
        <w:pStyle w:val="Heading3"/>
        <w:spacing w:before="120"/>
        <w:rPr>
          <w:i/>
          <w:color w:val="00703C"/>
          <w:sz w:val="20"/>
          <w:szCs w:val="20"/>
        </w:rPr>
      </w:pPr>
      <w:r w:rsidRPr="0016270D">
        <w:rPr>
          <w:i/>
          <w:color w:val="00703C"/>
          <w:sz w:val="20"/>
          <w:szCs w:val="20"/>
        </w:rPr>
        <w:t>Relationship</w:t>
      </w:r>
      <w:r w:rsidR="00EA5DDC">
        <w:rPr>
          <w:i/>
          <w:color w:val="00703C"/>
          <w:sz w:val="20"/>
          <w:szCs w:val="20"/>
        </w:rPr>
        <w:t>s</w:t>
      </w:r>
    </w:p>
    <w:tbl>
      <w:tblPr>
        <w:tblW w:w="9648" w:type="dxa"/>
        <w:tblBorders>
          <w:top w:val="single" w:sz="4" w:space="0" w:color="808080"/>
          <w:bottom w:val="single" w:sz="4" w:space="0" w:color="999999"/>
          <w:insideH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600"/>
        <w:gridCol w:w="3060"/>
      </w:tblGrid>
      <w:tr w:rsidR="00B85400" w:rsidRPr="0016270D" w14:paraId="17466E2C" w14:textId="77777777" w:rsidTr="00EA5021">
        <w:tc>
          <w:tcPr>
            <w:tcW w:w="2988" w:type="dxa"/>
            <w:tcBorders>
              <w:top w:val="single" w:sz="4" w:space="0" w:color="C0C0C0"/>
              <w:bottom w:val="nil"/>
            </w:tcBorders>
            <w:shd w:val="clear" w:color="auto" w:fill="00703C"/>
          </w:tcPr>
          <w:p w14:paraId="5BA7877D" w14:textId="77777777" w:rsidR="00B85400" w:rsidRPr="0016270D" w:rsidRDefault="00B85400" w:rsidP="00EA5DDC">
            <w:pPr>
              <w:keepNext/>
              <w:spacing w:before="60" w:after="6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16270D">
              <w:rPr>
                <w:rFonts w:ascii="Arial" w:hAnsi="Arial" w:cs="Arial"/>
                <w:bCs/>
                <w:color w:val="FFFFFF"/>
                <w:sz w:val="20"/>
                <w:szCs w:val="20"/>
              </w:rPr>
              <w:t>External</w:t>
            </w:r>
          </w:p>
        </w:tc>
        <w:tc>
          <w:tcPr>
            <w:tcW w:w="3600" w:type="dxa"/>
            <w:tcBorders>
              <w:top w:val="single" w:sz="4" w:space="0" w:color="C0C0C0"/>
              <w:bottom w:val="nil"/>
            </w:tcBorders>
            <w:shd w:val="clear" w:color="auto" w:fill="00703C"/>
          </w:tcPr>
          <w:p w14:paraId="4505B993" w14:textId="77777777" w:rsidR="00B85400" w:rsidRPr="0016270D" w:rsidRDefault="00B85400" w:rsidP="00EA5DDC">
            <w:pPr>
              <w:keepNext/>
              <w:spacing w:before="60" w:after="6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16270D">
              <w:rPr>
                <w:rFonts w:ascii="Arial" w:hAnsi="Arial" w:cs="Arial"/>
                <w:bCs/>
                <w:color w:val="FFFFFF"/>
                <w:sz w:val="20"/>
                <w:szCs w:val="20"/>
              </w:rPr>
              <w:t>Internal</w:t>
            </w:r>
          </w:p>
        </w:tc>
        <w:tc>
          <w:tcPr>
            <w:tcW w:w="3060" w:type="dxa"/>
            <w:tcBorders>
              <w:top w:val="single" w:sz="4" w:space="0" w:color="C0C0C0"/>
              <w:bottom w:val="nil"/>
            </w:tcBorders>
            <w:shd w:val="clear" w:color="auto" w:fill="00703C"/>
          </w:tcPr>
          <w:p w14:paraId="07AD1D37" w14:textId="77777777" w:rsidR="00B85400" w:rsidRPr="0016270D" w:rsidRDefault="00B85400" w:rsidP="00EA5DDC">
            <w:pPr>
              <w:keepNext/>
              <w:spacing w:before="60" w:after="60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16270D">
              <w:rPr>
                <w:rFonts w:ascii="Arial" w:hAnsi="Arial" w:cs="Arial"/>
                <w:bCs/>
                <w:color w:val="FFFFFF"/>
                <w:sz w:val="20"/>
                <w:szCs w:val="20"/>
              </w:rPr>
              <w:t>Committees/Groups</w:t>
            </w:r>
          </w:p>
        </w:tc>
      </w:tr>
      <w:tr w:rsidR="00C46FE5" w:rsidRPr="0016270D" w14:paraId="75348C71" w14:textId="77777777" w:rsidTr="00EA5021">
        <w:tc>
          <w:tcPr>
            <w:tcW w:w="2988" w:type="dxa"/>
            <w:tcBorders>
              <w:top w:val="nil"/>
              <w:bottom w:val="nil"/>
            </w:tcBorders>
            <w:shd w:val="clear" w:color="auto" w:fill="auto"/>
          </w:tcPr>
          <w:p w14:paraId="03FD4164" w14:textId="52E36A36" w:rsidR="00211D5D" w:rsidRPr="0016270D" w:rsidRDefault="00211D5D" w:rsidP="0017603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406CF">
              <w:rPr>
                <w:rFonts w:ascii="Arial" w:hAnsi="Arial" w:cs="Arial"/>
                <w:sz w:val="20"/>
                <w:szCs w:val="20"/>
                <w:lang w:val="en-NZ"/>
              </w:rPr>
              <w:t xml:space="preserve">Industry Groups and Associations aligned to </w:t>
            </w:r>
            <w:r>
              <w:rPr>
                <w:rFonts w:ascii="Arial" w:hAnsi="Arial" w:cs="Arial"/>
                <w:sz w:val="20"/>
                <w:szCs w:val="20"/>
                <w:lang w:val="en-NZ"/>
              </w:rPr>
              <w:t>advice services</w:t>
            </w:r>
            <w:r w:rsidR="001F760D">
              <w:rPr>
                <w:rFonts w:ascii="Arial" w:hAnsi="Arial" w:cs="Arial"/>
                <w:sz w:val="20"/>
                <w:szCs w:val="20"/>
                <w:lang w:val="en-NZ"/>
              </w:rPr>
              <w:t>: FENZ, Police, Irrigation NZ</w:t>
            </w:r>
            <w:r w:rsidR="008911CA">
              <w:rPr>
                <w:rFonts w:ascii="Arial" w:hAnsi="Arial" w:cs="Arial"/>
                <w:sz w:val="20"/>
                <w:szCs w:val="20"/>
                <w:lang w:val="en-NZ"/>
              </w:rPr>
              <w:t>, WorkSafe</w:t>
            </w:r>
            <w:r w:rsidR="00547836">
              <w:rPr>
                <w:rFonts w:ascii="Arial" w:hAnsi="Arial" w:cs="Arial"/>
                <w:sz w:val="20"/>
                <w:szCs w:val="20"/>
                <w:lang w:val="en-NZ"/>
              </w:rPr>
              <w:t>, ACC, others as required</w:t>
            </w:r>
            <w:r w:rsidR="00760DBA">
              <w:rPr>
                <w:rFonts w:ascii="Arial" w:hAnsi="Arial" w:cs="Arial"/>
                <w:sz w:val="20"/>
                <w:szCs w:val="20"/>
                <w:lang w:val="en-NZ"/>
              </w:rPr>
              <w:t>.</w:t>
            </w:r>
          </w:p>
          <w:p w14:paraId="205B1E21" w14:textId="64695C60" w:rsidR="00760DBA" w:rsidRPr="0016270D" w:rsidRDefault="00760DBA" w:rsidP="0017603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Research partners</w:t>
            </w:r>
          </w:p>
          <w:p w14:paraId="25C23DAC" w14:textId="77777777" w:rsidR="00C46FE5" w:rsidRPr="0016270D" w:rsidRDefault="00147B3A" w:rsidP="0017603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sz w:val="20"/>
                <w:szCs w:val="20"/>
              </w:rPr>
              <w:t>FMG business partners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27C4A6A2" w14:textId="1A875B75" w:rsidR="00311FF6" w:rsidRDefault="004552C0" w:rsidP="0017603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Experience team</w:t>
            </w:r>
          </w:p>
          <w:p w14:paraId="3E3962B4" w14:textId="77777777" w:rsidR="00311FF6" w:rsidRDefault="00311FF6" w:rsidP="0017603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Client Strategy &amp; Advice Services</w:t>
            </w:r>
          </w:p>
          <w:p w14:paraId="3A8C62AA" w14:textId="4823A7F0" w:rsidR="00311FF6" w:rsidRDefault="004552C0" w:rsidP="0017603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 w:rsidR="00311FF6">
              <w:rPr>
                <w:rFonts w:ascii="Arial" w:hAnsi="Arial" w:cs="Arial"/>
                <w:sz w:val="20"/>
                <w:szCs w:val="20"/>
              </w:rPr>
              <w:t>Proposition Managers</w:t>
            </w:r>
          </w:p>
          <w:p w14:paraId="36B1F457" w14:textId="77777777" w:rsidR="00311FF6" w:rsidRDefault="00311FF6" w:rsidP="0017603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 and Proposition team</w:t>
            </w:r>
          </w:p>
          <w:p w14:paraId="63F78C9D" w14:textId="77777777" w:rsidR="00311FF6" w:rsidRDefault="00311FF6" w:rsidP="0017603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 and Service team</w:t>
            </w:r>
          </w:p>
          <w:p w14:paraId="2ADA492A" w14:textId="77777777" w:rsidR="00311FF6" w:rsidRDefault="00311FF6" w:rsidP="0017603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and development team</w:t>
            </w:r>
          </w:p>
          <w:p w14:paraId="133599D7" w14:textId="59AF40D2" w:rsidR="00311FF6" w:rsidRDefault="00311FF6" w:rsidP="0017603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Information Services team</w:t>
            </w:r>
          </w:p>
          <w:p w14:paraId="5220DF71" w14:textId="41489CC4" w:rsidR="00547836" w:rsidRDefault="00547836" w:rsidP="0054783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Claims team</w:t>
            </w:r>
          </w:p>
          <w:p w14:paraId="74F43AA7" w14:textId="7E4B05C6" w:rsidR="00547836" w:rsidRPr="00547836" w:rsidRDefault="00547836" w:rsidP="00547836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60" w:line="2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Insurance </w:t>
            </w:r>
            <w:r w:rsidR="00034C2E">
              <w:rPr>
                <w:rFonts w:ascii="Arial" w:hAnsi="Arial" w:cs="Arial"/>
                <w:sz w:val="20"/>
                <w:szCs w:val="20"/>
              </w:rPr>
              <w:t>Solutions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team</w:t>
            </w:r>
          </w:p>
          <w:p w14:paraId="5514B87A" w14:textId="6682AFD3" w:rsidR="00C46FE5" w:rsidRPr="000740EC" w:rsidRDefault="00C46FE5" w:rsidP="0069248D">
            <w:pPr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14:paraId="16F5F7EA" w14:textId="31889629" w:rsidR="00C46FE5" w:rsidRPr="0016270D" w:rsidRDefault="00311FF6" w:rsidP="0017603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ind w:left="252" w:hanging="25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project groups</w:t>
            </w:r>
            <w:r w:rsidR="00547836">
              <w:rPr>
                <w:rFonts w:ascii="Arial" w:hAnsi="Arial" w:cs="Arial"/>
                <w:sz w:val="20"/>
                <w:szCs w:val="20"/>
              </w:rPr>
              <w:t xml:space="preserve"> and committees</w:t>
            </w:r>
          </w:p>
        </w:tc>
      </w:tr>
    </w:tbl>
    <w:p w14:paraId="7BFCD358" w14:textId="77777777" w:rsidR="00B85400" w:rsidRPr="0016270D" w:rsidRDefault="00000000" w:rsidP="00EA5D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536C6DF4">
          <v:rect id="_x0000_i1030" style="width:470.2pt;height:1pt" o:hrstd="t" o:hrnoshade="t" o:hr="t" fillcolor="silver" stroked="f"/>
        </w:pict>
      </w:r>
    </w:p>
    <w:p w14:paraId="2D44C065" w14:textId="77777777" w:rsidR="00344F32" w:rsidRPr="0016270D" w:rsidRDefault="00344F32" w:rsidP="00EA5DDC">
      <w:pPr>
        <w:pStyle w:val="Heading3"/>
        <w:spacing w:after="240"/>
        <w:rPr>
          <w:b w:val="0"/>
          <w:bCs w:val="0"/>
          <w:i/>
          <w:color w:val="00703C"/>
          <w:sz w:val="20"/>
          <w:szCs w:val="20"/>
        </w:rPr>
      </w:pPr>
      <w:r w:rsidRPr="0016270D">
        <w:rPr>
          <w:i/>
          <w:color w:val="00703C"/>
          <w:sz w:val="20"/>
          <w:szCs w:val="20"/>
        </w:rPr>
        <w:lastRenderedPageBreak/>
        <w:t>Financial Authority Levels</w:t>
      </w:r>
    </w:p>
    <w:p w14:paraId="4195AC0C" w14:textId="77777777" w:rsidR="00147B3A" w:rsidRPr="0016270D" w:rsidRDefault="00147B3A" w:rsidP="00176032">
      <w:pPr>
        <w:pStyle w:val="Heading3"/>
        <w:numPr>
          <w:ilvl w:val="0"/>
          <w:numId w:val="9"/>
        </w:numPr>
        <w:spacing w:after="240"/>
        <w:rPr>
          <w:b w:val="0"/>
          <w:bCs w:val="0"/>
          <w:sz w:val="20"/>
          <w:szCs w:val="20"/>
        </w:rPr>
      </w:pPr>
      <w:r w:rsidRPr="0016270D">
        <w:rPr>
          <w:b w:val="0"/>
          <w:bCs w:val="0"/>
          <w:sz w:val="20"/>
          <w:szCs w:val="20"/>
        </w:rPr>
        <w:t>May approve routine expenditure within budgetary limits</w:t>
      </w:r>
    </w:p>
    <w:p w14:paraId="1C2442DF" w14:textId="77777777" w:rsidR="00D15C40" w:rsidRPr="00036C3C" w:rsidRDefault="00D15C40" w:rsidP="00D15C40">
      <w:pPr>
        <w:pStyle w:val="Heading3"/>
        <w:rPr>
          <w:i/>
          <w:color w:val="00703C"/>
          <w:sz w:val="20"/>
          <w:szCs w:val="20"/>
        </w:rPr>
      </w:pPr>
      <w:r w:rsidRPr="00036C3C">
        <w:rPr>
          <w:i/>
          <w:color w:val="00703C"/>
          <w:sz w:val="20"/>
          <w:szCs w:val="20"/>
        </w:rPr>
        <w:t>People Advisory Authority Levels</w:t>
      </w:r>
    </w:p>
    <w:p w14:paraId="362615B7" w14:textId="2105FE7C" w:rsidR="00D15C40" w:rsidRPr="00036C3C" w:rsidRDefault="00D15C40" w:rsidP="00036C3C">
      <w:pPr>
        <w:pStyle w:val="NormalWeb"/>
        <w:numPr>
          <w:ilvl w:val="0"/>
          <w:numId w:val="11"/>
        </w:numPr>
        <w:rPr>
          <w:rFonts w:ascii="Arial" w:hAnsi="Arial" w:cs="Arial"/>
          <w:sz w:val="20"/>
          <w:szCs w:val="20"/>
          <w:lang w:val="en-US" w:eastAsia="en-US"/>
        </w:rPr>
      </w:pPr>
      <w:r w:rsidRPr="00036C3C">
        <w:rPr>
          <w:rFonts w:ascii="Arial" w:hAnsi="Arial" w:cs="Arial"/>
          <w:sz w:val="20"/>
          <w:szCs w:val="20"/>
          <w:lang w:val="en-US" w:eastAsia="en-US"/>
        </w:rPr>
        <w:t>May hire direct and indirect reports within approved FTE headcounts.</w:t>
      </w:r>
    </w:p>
    <w:p w14:paraId="6E1BE9DD" w14:textId="5460E603" w:rsidR="00D15C40" w:rsidRPr="00036C3C" w:rsidRDefault="00D15C40" w:rsidP="00036C3C">
      <w:pPr>
        <w:pStyle w:val="NormalWeb"/>
        <w:numPr>
          <w:ilvl w:val="0"/>
          <w:numId w:val="11"/>
        </w:numPr>
        <w:rPr>
          <w:rFonts w:ascii="Arial" w:hAnsi="Arial" w:cs="Arial"/>
          <w:sz w:val="20"/>
          <w:szCs w:val="20"/>
          <w:lang w:val="en-US" w:eastAsia="en-US"/>
        </w:rPr>
      </w:pPr>
      <w:r w:rsidRPr="00036C3C">
        <w:rPr>
          <w:rFonts w:ascii="Arial" w:hAnsi="Arial" w:cs="Arial"/>
          <w:sz w:val="20"/>
          <w:szCs w:val="20"/>
          <w:lang w:val="en-US" w:eastAsia="en-US"/>
        </w:rPr>
        <w:t>May discipline direct and indirect reports in consultation with manager and People Advisory.</w:t>
      </w:r>
    </w:p>
    <w:p w14:paraId="3FE7C210" w14:textId="572E369A" w:rsidR="00D15C40" w:rsidRPr="00036C3C" w:rsidRDefault="00D15C40" w:rsidP="00036C3C">
      <w:pPr>
        <w:pStyle w:val="NormalWeb"/>
        <w:numPr>
          <w:ilvl w:val="0"/>
          <w:numId w:val="11"/>
        </w:numPr>
        <w:rPr>
          <w:rFonts w:ascii="Arial" w:hAnsi="Arial" w:cs="Arial"/>
          <w:sz w:val="20"/>
          <w:szCs w:val="20"/>
          <w:lang w:val="en-US" w:eastAsia="en-US"/>
        </w:rPr>
      </w:pPr>
      <w:r w:rsidRPr="00036C3C">
        <w:rPr>
          <w:rFonts w:ascii="Arial" w:hAnsi="Arial" w:cs="Arial"/>
          <w:sz w:val="20"/>
          <w:szCs w:val="20"/>
          <w:lang w:val="en-US" w:eastAsia="en-US"/>
        </w:rPr>
        <w:t>No authority to dismiss staff, unless delegated by the Chief Executive and in consultation with manager and Chief People Officer.</w:t>
      </w:r>
    </w:p>
    <w:p w14:paraId="07E73DA7" w14:textId="77777777" w:rsidR="004958EC" w:rsidRPr="0016270D" w:rsidRDefault="004958EC" w:rsidP="00EA5DDC">
      <w:pPr>
        <w:pStyle w:val="Heading3"/>
        <w:spacing w:before="120"/>
        <w:rPr>
          <w:i/>
          <w:color w:val="00703C"/>
          <w:sz w:val="20"/>
          <w:szCs w:val="20"/>
        </w:rPr>
      </w:pPr>
      <w:r w:rsidRPr="0016270D">
        <w:rPr>
          <w:i/>
          <w:color w:val="00703C"/>
          <w:sz w:val="20"/>
          <w:szCs w:val="20"/>
        </w:rPr>
        <w:t>Delegated Authority Levels</w:t>
      </w:r>
    </w:p>
    <w:p w14:paraId="4D34DC8D" w14:textId="77777777" w:rsidR="004958EC" w:rsidRPr="0016270D" w:rsidRDefault="004958EC" w:rsidP="00176032">
      <w:pPr>
        <w:pStyle w:val="Heading3"/>
        <w:numPr>
          <w:ilvl w:val="0"/>
          <w:numId w:val="7"/>
        </w:numPr>
        <w:spacing w:after="240"/>
        <w:rPr>
          <w:b w:val="0"/>
          <w:bCs w:val="0"/>
          <w:sz w:val="20"/>
          <w:szCs w:val="20"/>
        </w:rPr>
      </w:pPr>
      <w:r w:rsidRPr="0016270D">
        <w:rPr>
          <w:b w:val="0"/>
          <w:bCs w:val="0"/>
          <w:sz w:val="20"/>
          <w:szCs w:val="20"/>
        </w:rPr>
        <w:t>Delegated authority levels for the individual role-holder will be advised following assessment, training and approval as per the requirements of the FMG Delegated Authority Policy.</w:t>
      </w:r>
    </w:p>
    <w:p w14:paraId="7FFDDF7E" w14:textId="77777777" w:rsidR="0089439A" w:rsidRPr="00EA5DDC" w:rsidRDefault="00000000" w:rsidP="00EA5DDC">
      <w:pPr>
        <w:tabs>
          <w:tab w:val="left" w:pos="1800"/>
        </w:tabs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1C31398">
          <v:rect id="_x0000_i1031" style="width:470.2pt;height:1pt" o:hrstd="t" o:hrnoshade="t" o:hr="t" fillcolor="silver" stroked="f"/>
        </w:pict>
      </w:r>
      <w:r w:rsidR="00106A67" w:rsidRPr="00EA5DDC">
        <w:rPr>
          <w:rFonts w:ascii="Arial" w:hAnsi="Arial" w:cs="Arial"/>
          <w:b/>
          <w:bCs/>
          <w:i/>
          <w:color w:val="00703C"/>
          <w:sz w:val="20"/>
          <w:szCs w:val="20"/>
        </w:rPr>
        <w:t>Agreement</w:t>
      </w:r>
    </w:p>
    <w:p w14:paraId="4973CF8C" w14:textId="77777777" w:rsidR="0089439A" w:rsidRPr="0016270D" w:rsidRDefault="0089439A" w:rsidP="00EA5DDC">
      <w:pPr>
        <w:rPr>
          <w:rFonts w:ascii="Arial" w:hAnsi="Arial" w:cs="Arial"/>
          <w:sz w:val="20"/>
          <w:szCs w:val="20"/>
        </w:rPr>
      </w:pPr>
      <w:r w:rsidRPr="0016270D">
        <w:rPr>
          <w:rFonts w:ascii="Arial" w:hAnsi="Arial" w:cs="Arial"/>
          <w:sz w:val="20"/>
          <w:szCs w:val="20"/>
        </w:rPr>
        <w:t xml:space="preserve">I agree </w:t>
      </w:r>
      <w:proofErr w:type="gramStart"/>
      <w:r w:rsidRPr="0016270D">
        <w:rPr>
          <w:rFonts w:ascii="Arial" w:hAnsi="Arial" w:cs="Arial"/>
          <w:sz w:val="20"/>
          <w:szCs w:val="20"/>
        </w:rPr>
        <w:t>to</w:t>
      </w:r>
      <w:proofErr w:type="gramEnd"/>
      <w:r w:rsidRPr="0016270D">
        <w:rPr>
          <w:rFonts w:ascii="Arial" w:hAnsi="Arial" w:cs="Arial"/>
          <w:sz w:val="20"/>
          <w:szCs w:val="20"/>
        </w:rPr>
        <w:t xml:space="preserve"> the outline of the role as contained in this document and </w:t>
      </w:r>
      <w:r w:rsidR="007F10A3" w:rsidRPr="0016270D">
        <w:rPr>
          <w:rFonts w:ascii="Arial" w:hAnsi="Arial" w:cs="Arial"/>
          <w:sz w:val="20"/>
          <w:szCs w:val="20"/>
        </w:rPr>
        <w:t>recognise that the contents</w:t>
      </w:r>
      <w:r w:rsidRPr="0016270D">
        <w:rPr>
          <w:rFonts w:ascii="Arial" w:hAnsi="Arial" w:cs="Arial"/>
          <w:sz w:val="20"/>
          <w:szCs w:val="20"/>
        </w:rPr>
        <w:t xml:space="preserve"> may need to be amended from time to time to reflect changing business requirements.</w:t>
      </w:r>
    </w:p>
    <w:p w14:paraId="7AEE018D" w14:textId="77777777" w:rsidR="0089439A" w:rsidRPr="0016270D" w:rsidRDefault="0089439A" w:rsidP="00EA5DDC">
      <w:pPr>
        <w:rPr>
          <w:rFonts w:ascii="Arial" w:hAnsi="Arial" w:cs="Arial"/>
          <w:sz w:val="20"/>
          <w:szCs w:val="20"/>
        </w:rPr>
      </w:pPr>
    </w:p>
    <w:p w14:paraId="17BE7A4F" w14:textId="77777777" w:rsidR="000852A5" w:rsidRPr="0016270D" w:rsidRDefault="0089439A" w:rsidP="00EA5DDC">
      <w:pPr>
        <w:rPr>
          <w:rFonts w:ascii="Arial" w:hAnsi="Arial" w:cs="Arial"/>
          <w:sz w:val="20"/>
          <w:szCs w:val="20"/>
        </w:rPr>
      </w:pPr>
      <w:r w:rsidRPr="0016270D">
        <w:rPr>
          <w:rFonts w:ascii="Arial" w:hAnsi="Arial" w:cs="Arial"/>
          <w:sz w:val="20"/>
          <w:szCs w:val="20"/>
        </w:rPr>
        <w:t xml:space="preserve">I as Job </w:t>
      </w:r>
      <w:proofErr w:type="gramStart"/>
      <w:r w:rsidRPr="0016270D">
        <w:rPr>
          <w:rFonts w:ascii="Arial" w:hAnsi="Arial" w:cs="Arial"/>
          <w:sz w:val="20"/>
          <w:szCs w:val="20"/>
        </w:rPr>
        <w:t>holder,</w:t>
      </w:r>
      <w:proofErr w:type="gramEnd"/>
      <w:r w:rsidRPr="0016270D">
        <w:rPr>
          <w:rFonts w:ascii="Arial" w:hAnsi="Arial" w:cs="Arial"/>
          <w:sz w:val="20"/>
          <w:szCs w:val="20"/>
        </w:rPr>
        <w:t xml:space="preserve"> allow my </w:t>
      </w:r>
      <w:proofErr w:type="gramStart"/>
      <w:r w:rsidRPr="0016270D">
        <w:rPr>
          <w:rFonts w:ascii="Arial" w:hAnsi="Arial" w:cs="Arial"/>
          <w:sz w:val="20"/>
          <w:szCs w:val="20"/>
        </w:rPr>
        <w:t>Manager</w:t>
      </w:r>
      <w:proofErr w:type="gramEnd"/>
      <w:r w:rsidRPr="0016270D">
        <w:rPr>
          <w:rFonts w:ascii="Arial" w:hAnsi="Arial" w:cs="Arial"/>
          <w:sz w:val="20"/>
          <w:szCs w:val="20"/>
        </w:rPr>
        <w:t xml:space="preserve"> to gather information from third parties where necessary for the purposes of performance management.</w:t>
      </w:r>
    </w:p>
    <w:p w14:paraId="0166D463" w14:textId="77777777" w:rsidR="0089439A" w:rsidRPr="0016270D" w:rsidRDefault="0089439A" w:rsidP="00EA5DD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698"/>
      </w:tblGrid>
      <w:tr w:rsidR="00B85400" w:rsidRPr="0016270D" w14:paraId="774926DA" w14:textId="77777777" w:rsidTr="00EA5021">
        <w:trPr>
          <w:trHeight w:val="693"/>
        </w:trPr>
        <w:tc>
          <w:tcPr>
            <w:tcW w:w="4734" w:type="dxa"/>
            <w:shd w:val="clear" w:color="auto" w:fill="auto"/>
          </w:tcPr>
          <w:p w14:paraId="60EE8978" w14:textId="130FAE24" w:rsidR="00B85400" w:rsidRPr="0016270D" w:rsidRDefault="00CE498E" w:rsidP="00EA5DDC">
            <w:pPr>
              <w:tabs>
                <w:tab w:val="left" w:pos="180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Experience</w:t>
            </w:r>
            <w:r w:rsidR="00C33755">
              <w:rPr>
                <w:rFonts w:ascii="Arial" w:hAnsi="Arial" w:cs="Arial"/>
                <w:sz w:val="20"/>
                <w:szCs w:val="20"/>
              </w:rPr>
              <w:t xml:space="preserve"> Manager</w:t>
            </w:r>
            <w:r w:rsidR="00C02F4A" w:rsidRPr="0016270D">
              <w:rPr>
                <w:rFonts w:ascii="Arial" w:hAnsi="Arial" w:cs="Arial"/>
                <w:sz w:val="20"/>
                <w:szCs w:val="20"/>
              </w:rPr>
              <w:t>’</w:t>
            </w:r>
            <w:r w:rsidR="00C33755">
              <w:rPr>
                <w:rFonts w:ascii="Arial" w:hAnsi="Arial" w:cs="Arial"/>
                <w:sz w:val="20"/>
                <w:szCs w:val="20"/>
              </w:rPr>
              <w:t>s</w:t>
            </w:r>
            <w:r w:rsidR="00C02F4A" w:rsidRPr="0016270D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</w:tcPr>
          <w:p w14:paraId="3A1CA094" w14:textId="77777777" w:rsidR="00B85400" w:rsidRPr="0016270D" w:rsidRDefault="00B85400" w:rsidP="00EA5DDC">
            <w:pPr>
              <w:tabs>
                <w:tab w:val="left" w:pos="18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400" w:rsidRPr="0016270D" w14:paraId="1951F79A" w14:textId="77777777" w:rsidTr="00EA5021">
        <w:trPr>
          <w:trHeight w:val="411"/>
        </w:trPr>
        <w:tc>
          <w:tcPr>
            <w:tcW w:w="4734" w:type="dxa"/>
            <w:shd w:val="clear" w:color="auto" w:fill="auto"/>
          </w:tcPr>
          <w:p w14:paraId="4C647846" w14:textId="77777777" w:rsidR="00B85400" w:rsidRPr="0016270D" w:rsidRDefault="00B85400" w:rsidP="00EA5DDC">
            <w:pPr>
              <w:tabs>
                <w:tab w:val="left" w:pos="180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6F1AB" w14:textId="77777777" w:rsidR="00B85400" w:rsidRPr="0016270D" w:rsidRDefault="00B85400" w:rsidP="00EA5DDC">
            <w:pPr>
              <w:tabs>
                <w:tab w:val="left" w:pos="180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5400" w:rsidRPr="0016270D" w14:paraId="0ADD54D7" w14:textId="77777777" w:rsidTr="00EA5021">
        <w:tc>
          <w:tcPr>
            <w:tcW w:w="4734" w:type="dxa"/>
            <w:shd w:val="clear" w:color="auto" w:fill="auto"/>
          </w:tcPr>
          <w:p w14:paraId="7894978C" w14:textId="77777777" w:rsidR="00B85400" w:rsidRPr="0016270D" w:rsidRDefault="00B85400" w:rsidP="00EA5DDC">
            <w:pPr>
              <w:tabs>
                <w:tab w:val="left" w:pos="1800"/>
              </w:tabs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270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6D66F" w14:textId="77777777" w:rsidR="00B85400" w:rsidRPr="0016270D" w:rsidRDefault="00B85400" w:rsidP="00EA5DDC">
            <w:pPr>
              <w:tabs>
                <w:tab w:val="left" w:pos="1800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0C80F6" w14:textId="77777777" w:rsidR="00B85400" w:rsidRPr="0016270D" w:rsidRDefault="00B85400" w:rsidP="00EA5DDC">
      <w:pPr>
        <w:jc w:val="right"/>
        <w:rPr>
          <w:rFonts w:ascii="Arial" w:hAnsi="Arial" w:cs="Arial"/>
          <w:sz w:val="20"/>
          <w:szCs w:val="20"/>
        </w:rPr>
      </w:pPr>
    </w:p>
    <w:p w14:paraId="42BC5ACC" w14:textId="77777777" w:rsidR="00D12F86" w:rsidRPr="0016270D" w:rsidRDefault="00D12F86" w:rsidP="00EA5DDC">
      <w:pPr>
        <w:tabs>
          <w:tab w:val="left" w:pos="1800"/>
        </w:tabs>
        <w:spacing w:before="120" w:after="120"/>
        <w:rPr>
          <w:rFonts w:ascii="Arial" w:hAnsi="Arial" w:cs="Arial"/>
          <w:sz w:val="20"/>
          <w:szCs w:val="20"/>
        </w:rPr>
      </w:pPr>
    </w:p>
    <w:sectPr w:rsidR="00D12F86" w:rsidRPr="0016270D" w:rsidSect="003F65B9">
      <w:headerReference w:type="default" r:id="rId14"/>
      <w:footerReference w:type="default" r:id="rId15"/>
      <w:pgSz w:w="12240" w:h="15840"/>
      <w:pgMar w:top="1258" w:right="1418" w:bottom="1258" w:left="1418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8017" w14:textId="77777777" w:rsidR="00B568DC" w:rsidRDefault="00B568DC">
      <w:r>
        <w:separator/>
      </w:r>
    </w:p>
  </w:endnote>
  <w:endnote w:type="continuationSeparator" w:id="0">
    <w:p w14:paraId="12FD2016" w14:textId="77777777" w:rsidR="00B568DC" w:rsidRDefault="00B568DC">
      <w:r>
        <w:continuationSeparator/>
      </w:r>
    </w:p>
  </w:endnote>
  <w:endnote w:type="continuationNotice" w:id="1">
    <w:p w14:paraId="7B5FB6A8" w14:textId="77777777" w:rsidR="00B568DC" w:rsidRDefault="00B568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  <w:gridCol w:w="2880"/>
    </w:tblGrid>
    <w:tr w:rsidR="00BE4180" w:rsidRPr="00EA5021" w14:paraId="039EBD0A" w14:textId="77777777" w:rsidTr="00EA5021">
      <w:tc>
        <w:tcPr>
          <w:tcW w:w="7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38B49F" w14:textId="77777777" w:rsidR="00BE4180" w:rsidRPr="00EA5021" w:rsidRDefault="00BE4180" w:rsidP="00EA5021">
          <w:pPr>
            <w:pStyle w:val="Footer"/>
            <w:tabs>
              <w:tab w:val="clear" w:pos="4320"/>
              <w:tab w:val="clear" w:pos="8640"/>
              <w:tab w:val="center" w:pos="4500"/>
              <w:tab w:val="right" w:pos="10260"/>
            </w:tabs>
            <w:rPr>
              <w:rStyle w:val="PageNumber"/>
              <w:rFonts w:ascii="Verdana" w:hAnsi="Verdana"/>
              <w:sz w:val="20"/>
              <w:szCs w:val="20"/>
            </w:rPr>
          </w:pPr>
        </w:p>
        <w:p w14:paraId="39760936" w14:textId="77777777" w:rsidR="00BE4180" w:rsidRPr="00EA5021" w:rsidRDefault="00BE4180" w:rsidP="00EA5021">
          <w:pPr>
            <w:pStyle w:val="Footer"/>
            <w:tabs>
              <w:tab w:val="clear" w:pos="4320"/>
              <w:tab w:val="clear" w:pos="8640"/>
              <w:tab w:val="center" w:pos="4500"/>
              <w:tab w:val="right" w:pos="10260"/>
            </w:tabs>
            <w:rPr>
              <w:rStyle w:val="PageNumber"/>
              <w:rFonts w:ascii="Verdana" w:hAnsi="Verdana" w:cs="Arial"/>
              <w:sz w:val="20"/>
              <w:szCs w:val="20"/>
            </w:rPr>
          </w:pPr>
          <w:r w:rsidRPr="00EA5021">
            <w:rPr>
              <w:rStyle w:val="PageNumber"/>
              <w:rFonts w:ascii="Verdana" w:hAnsi="Verdana"/>
              <w:sz w:val="20"/>
              <w:szCs w:val="20"/>
            </w:rPr>
            <w:fldChar w:fldCharType="begin"/>
          </w:r>
          <w:r w:rsidRPr="00EA5021">
            <w:rPr>
              <w:rStyle w:val="PageNumber"/>
              <w:rFonts w:ascii="Verdana" w:hAnsi="Verdana"/>
              <w:sz w:val="20"/>
              <w:szCs w:val="20"/>
            </w:rPr>
            <w:instrText xml:space="preserve"> PAGE </w:instrText>
          </w:r>
          <w:r w:rsidRPr="00EA5021">
            <w:rPr>
              <w:rStyle w:val="PageNumber"/>
              <w:rFonts w:ascii="Verdana" w:hAnsi="Verdana"/>
              <w:sz w:val="20"/>
              <w:szCs w:val="20"/>
            </w:rPr>
            <w:fldChar w:fldCharType="separate"/>
          </w:r>
          <w:r w:rsidR="00C33755">
            <w:rPr>
              <w:rStyle w:val="PageNumber"/>
              <w:rFonts w:ascii="Verdana" w:hAnsi="Verdana"/>
              <w:noProof/>
              <w:sz w:val="20"/>
              <w:szCs w:val="20"/>
            </w:rPr>
            <w:t>6</w:t>
          </w:r>
          <w:r w:rsidRPr="00EA5021">
            <w:rPr>
              <w:rStyle w:val="PageNumber"/>
              <w:rFonts w:ascii="Verdana" w:hAnsi="Verdana"/>
              <w:sz w:val="20"/>
              <w:szCs w:val="20"/>
            </w:rPr>
            <w:fldChar w:fldCharType="end"/>
          </w: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4C211B" w14:textId="77777777" w:rsidR="00BE4180" w:rsidRPr="00EA5021" w:rsidRDefault="00BE4180" w:rsidP="00EA5021">
          <w:pPr>
            <w:pStyle w:val="Footer"/>
            <w:tabs>
              <w:tab w:val="clear" w:pos="4320"/>
              <w:tab w:val="clear" w:pos="8640"/>
              <w:tab w:val="center" w:pos="4500"/>
              <w:tab w:val="right" w:pos="10260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7BC6CCE5" w14:textId="77777777" w:rsidR="00BE4180" w:rsidRPr="007F32EE" w:rsidRDefault="00BE4180" w:rsidP="003F65B9">
    <w:pPr>
      <w:pStyle w:val="Footer"/>
      <w:tabs>
        <w:tab w:val="clear" w:pos="4320"/>
        <w:tab w:val="clear" w:pos="8640"/>
        <w:tab w:val="center" w:pos="4500"/>
        <w:tab w:val="right" w:pos="10260"/>
      </w:tabs>
      <w:rPr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A5184" w14:textId="77777777" w:rsidR="00B568DC" w:rsidRDefault="00B568DC">
      <w:r>
        <w:separator/>
      </w:r>
    </w:p>
  </w:footnote>
  <w:footnote w:type="continuationSeparator" w:id="0">
    <w:p w14:paraId="1D3D2CEA" w14:textId="77777777" w:rsidR="00B568DC" w:rsidRDefault="00B568DC">
      <w:r>
        <w:continuationSeparator/>
      </w:r>
    </w:p>
  </w:footnote>
  <w:footnote w:type="continuationNotice" w:id="1">
    <w:p w14:paraId="06F810FF" w14:textId="77777777" w:rsidR="00B568DC" w:rsidRDefault="00B568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A023" w14:textId="77777777" w:rsidR="00BE4180" w:rsidRDefault="00BE4180" w:rsidP="007F62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8B4CAB0"/>
    <w:lvl w:ilvl="0">
      <w:start w:val="1"/>
      <w:numFmt w:val="lowerLetter"/>
      <w:pStyle w:val="ListBullet2"/>
      <w:lvlText w:val="%1."/>
      <w:lvlJc w:val="left"/>
      <w:pPr>
        <w:tabs>
          <w:tab w:val="num" w:pos="850"/>
        </w:tabs>
        <w:ind w:left="850" w:hanging="567"/>
      </w:pPr>
      <w:rPr>
        <w:rFonts w:hint="default"/>
      </w:rPr>
    </w:lvl>
  </w:abstractNum>
  <w:abstractNum w:abstractNumId="1" w15:restartNumberingAfterBreak="0">
    <w:nsid w:val="092D3AB3"/>
    <w:multiLevelType w:val="hybridMultilevel"/>
    <w:tmpl w:val="40A69F5C"/>
    <w:lvl w:ilvl="0" w:tplc="A6EC3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54BD"/>
    <w:multiLevelType w:val="hybridMultilevel"/>
    <w:tmpl w:val="82DA6E8E"/>
    <w:lvl w:ilvl="0" w:tplc="2DA21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4BE28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3AC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07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69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0B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3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EE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F2C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05CF"/>
    <w:multiLevelType w:val="hybridMultilevel"/>
    <w:tmpl w:val="672EEC42"/>
    <w:lvl w:ilvl="0" w:tplc="04090005">
      <w:numFmt w:val="bullet"/>
      <w:pStyle w:val="Heading5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E76CC3"/>
    <w:multiLevelType w:val="hybridMultilevel"/>
    <w:tmpl w:val="74BE3A60"/>
    <w:lvl w:ilvl="0" w:tplc="71705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E930E0"/>
    <w:multiLevelType w:val="hybridMultilevel"/>
    <w:tmpl w:val="C3E01E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14B96"/>
    <w:multiLevelType w:val="hybridMultilevel"/>
    <w:tmpl w:val="CCF2F39E"/>
    <w:lvl w:ilvl="0" w:tplc="A6EC3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1E4CB1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ED022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23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ED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E1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01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40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685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6945"/>
    <w:multiLevelType w:val="hybridMultilevel"/>
    <w:tmpl w:val="95460968"/>
    <w:lvl w:ilvl="0" w:tplc="474A5DA2">
      <w:start w:val="1"/>
      <w:numFmt w:val="bullet"/>
      <w:pStyle w:val="BulletSymbo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2D8EAE"/>
      </w:rPr>
    </w:lvl>
    <w:lvl w:ilvl="1" w:tplc="FFFFFFFF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563D3BFE"/>
    <w:multiLevelType w:val="hybridMultilevel"/>
    <w:tmpl w:val="3EC6A99C"/>
    <w:lvl w:ilvl="0" w:tplc="71705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32BB1"/>
    <w:multiLevelType w:val="hybridMultilevel"/>
    <w:tmpl w:val="AE86B802"/>
    <w:lvl w:ilvl="0" w:tplc="71705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A31CA"/>
    <w:multiLevelType w:val="singleLevel"/>
    <w:tmpl w:val="FFF88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5781214">
    <w:abstractNumId w:val="2"/>
  </w:num>
  <w:num w:numId="2" w16cid:durableId="1441488844">
    <w:abstractNumId w:val="6"/>
  </w:num>
  <w:num w:numId="3" w16cid:durableId="1416710529">
    <w:abstractNumId w:val="8"/>
  </w:num>
  <w:num w:numId="4" w16cid:durableId="390465008">
    <w:abstractNumId w:val="0"/>
  </w:num>
  <w:num w:numId="5" w16cid:durableId="2100981324">
    <w:abstractNumId w:val="3"/>
  </w:num>
  <w:num w:numId="6" w16cid:durableId="770931651">
    <w:abstractNumId w:val="7"/>
  </w:num>
  <w:num w:numId="7" w16cid:durableId="1233547411">
    <w:abstractNumId w:val="5"/>
  </w:num>
  <w:num w:numId="8" w16cid:durableId="264655158">
    <w:abstractNumId w:val="4"/>
  </w:num>
  <w:num w:numId="9" w16cid:durableId="1508668430">
    <w:abstractNumId w:val="9"/>
  </w:num>
  <w:num w:numId="10" w16cid:durableId="134295173">
    <w:abstractNumId w:val="10"/>
  </w:num>
  <w:num w:numId="11" w16cid:durableId="13376141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a87c738b-e35f-49b8-bb8c-43d0d51d500a"/>
  </w:docVars>
  <w:rsids>
    <w:rsidRoot w:val="00237CDB"/>
    <w:rsid w:val="000000FD"/>
    <w:rsid w:val="000132C9"/>
    <w:rsid w:val="0002278A"/>
    <w:rsid w:val="00025286"/>
    <w:rsid w:val="00025C21"/>
    <w:rsid w:val="00027534"/>
    <w:rsid w:val="00033887"/>
    <w:rsid w:val="00034C2E"/>
    <w:rsid w:val="00036C3C"/>
    <w:rsid w:val="0004704B"/>
    <w:rsid w:val="00055367"/>
    <w:rsid w:val="00056781"/>
    <w:rsid w:val="00067A2E"/>
    <w:rsid w:val="00071784"/>
    <w:rsid w:val="00072DAE"/>
    <w:rsid w:val="000740EC"/>
    <w:rsid w:val="0008155C"/>
    <w:rsid w:val="00081F3C"/>
    <w:rsid w:val="00082213"/>
    <w:rsid w:val="000852A5"/>
    <w:rsid w:val="000860BB"/>
    <w:rsid w:val="00090BF7"/>
    <w:rsid w:val="000A2124"/>
    <w:rsid w:val="000B5881"/>
    <w:rsid w:val="000C204D"/>
    <w:rsid w:val="000C35D0"/>
    <w:rsid w:val="000C455A"/>
    <w:rsid w:val="000C5CBF"/>
    <w:rsid w:val="000D38ED"/>
    <w:rsid w:val="000D5ED2"/>
    <w:rsid w:val="000E363D"/>
    <w:rsid w:val="000E4E10"/>
    <w:rsid w:val="000F5263"/>
    <w:rsid w:val="00106A67"/>
    <w:rsid w:val="00107B1C"/>
    <w:rsid w:val="00110657"/>
    <w:rsid w:val="00115041"/>
    <w:rsid w:val="00115410"/>
    <w:rsid w:val="00116698"/>
    <w:rsid w:val="0012043D"/>
    <w:rsid w:val="00122B30"/>
    <w:rsid w:val="00122DC8"/>
    <w:rsid w:val="00130251"/>
    <w:rsid w:val="00133A04"/>
    <w:rsid w:val="00140558"/>
    <w:rsid w:val="0014094A"/>
    <w:rsid w:val="00147B3A"/>
    <w:rsid w:val="00155532"/>
    <w:rsid w:val="0016129D"/>
    <w:rsid w:val="0016270D"/>
    <w:rsid w:val="00176032"/>
    <w:rsid w:val="00187582"/>
    <w:rsid w:val="00190D9F"/>
    <w:rsid w:val="001A265B"/>
    <w:rsid w:val="001B62F8"/>
    <w:rsid w:val="001E075A"/>
    <w:rsid w:val="001E1D16"/>
    <w:rsid w:val="001E419B"/>
    <w:rsid w:val="001F14A0"/>
    <w:rsid w:val="001F2B0C"/>
    <w:rsid w:val="001F3BAC"/>
    <w:rsid w:val="001F3DAE"/>
    <w:rsid w:val="001F4E0D"/>
    <w:rsid w:val="001F760D"/>
    <w:rsid w:val="002066B9"/>
    <w:rsid w:val="002069CC"/>
    <w:rsid w:val="00211D5D"/>
    <w:rsid w:val="00221E1A"/>
    <w:rsid w:val="002317E6"/>
    <w:rsid w:val="00237CDB"/>
    <w:rsid w:val="00241C55"/>
    <w:rsid w:val="002436D7"/>
    <w:rsid w:val="002508BE"/>
    <w:rsid w:val="00252289"/>
    <w:rsid w:val="00263B93"/>
    <w:rsid w:val="00266699"/>
    <w:rsid w:val="00273606"/>
    <w:rsid w:val="00276B2D"/>
    <w:rsid w:val="00276B4A"/>
    <w:rsid w:val="00286C09"/>
    <w:rsid w:val="002A5361"/>
    <w:rsid w:val="002B11AE"/>
    <w:rsid w:val="002B28F0"/>
    <w:rsid w:val="002B7E93"/>
    <w:rsid w:val="002C01C7"/>
    <w:rsid w:val="002D76A9"/>
    <w:rsid w:val="002E0569"/>
    <w:rsid w:val="002E0E9C"/>
    <w:rsid w:val="002E4286"/>
    <w:rsid w:val="002F29A5"/>
    <w:rsid w:val="00311FF6"/>
    <w:rsid w:val="00312073"/>
    <w:rsid w:val="003221FE"/>
    <w:rsid w:val="0032579C"/>
    <w:rsid w:val="00333987"/>
    <w:rsid w:val="0033413F"/>
    <w:rsid w:val="00344F32"/>
    <w:rsid w:val="0035029D"/>
    <w:rsid w:val="003512DD"/>
    <w:rsid w:val="00356A94"/>
    <w:rsid w:val="003574D5"/>
    <w:rsid w:val="003600CF"/>
    <w:rsid w:val="0036139F"/>
    <w:rsid w:val="0037542D"/>
    <w:rsid w:val="00375EF5"/>
    <w:rsid w:val="00377E47"/>
    <w:rsid w:val="003834CF"/>
    <w:rsid w:val="0038676C"/>
    <w:rsid w:val="00387420"/>
    <w:rsid w:val="0039257B"/>
    <w:rsid w:val="003938B2"/>
    <w:rsid w:val="00394071"/>
    <w:rsid w:val="003967CB"/>
    <w:rsid w:val="003A367A"/>
    <w:rsid w:val="003A5499"/>
    <w:rsid w:val="003B1881"/>
    <w:rsid w:val="003B5647"/>
    <w:rsid w:val="003C0FA4"/>
    <w:rsid w:val="003C2F39"/>
    <w:rsid w:val="003C584B"/>
    <w:rsid w:val="003D213F"/>
    <w:rsid w:val="003D6548"/>
    <w:rsid w:val="003E1C3E"/>
    <w:rsid w:val="003F1B70"/>
    <w:rsid w:val="003F4912"/>
    <w:rsid w:val="003F5AD1"/>
    <w:rsid w:val="003F65B9"/>
    <w:rsid w:val="003F6EE2"/>
    <w:rsid w:val="00410C0A"/>
    <w:rsid w:val="0041260D"/>
    <w:rsid w:val="00421736"/>
    <w:rsid w:val="00423E57"/>
    <w:rsid w:val="00430E83"/>
    <w:rsid w:val="004552C0"/>
    <w:rsid w:val="004632F1"/>
    <w:rsid w:val="00465338"/>
    <w:rsid w:val="004712F0"/>
    <w:rsid w:val="00473FDE"/>
    <w:rsid w:val="0047468C"/>
    <w:rsid w:val="0047788C"/>
    <w:rsid w:val="0048342C"/>
    <w:rsid w:val="00483564"/>
    <w:rsid w:val="00484947"/>
    <w:rsid w:val="00484D8F"/>
    <w:rsid w:val="00485B79"/>
    <w:rsid w:val="004958EC"/>
    <w:rsid w:val="004A4824"/>
    <w:rsid w:val="004B0C3F"/>
    <w:rsid w:val="004B4813"/>
    <w:rsid w:val="004D2CC6"/>
    <w:rsid w:val="004D579E"/>
    <w:rsid w:val="004E02FD"/>
    <w:rsid w:val="004E4BD8"/>
    <w:rsid w:val="004E7258"/>
    <w:rsid w:val="004F4B28"/>
    <w:rsid w:val="004F6EAF"/>
    <w:rsid w:val="00511329"/>
    <w:rsid w:val="005238D8"/>
    <w:rsid w:val="005266DD"/>
    <w:rsid w:val="00534892"/>
    <w:rsid w:val="005405F6"/>
    <w:rsid w:val="005450F0"/>
    <w:rsid w:val="005466A1"/>
    <w:rsid w:val="00547836"/>
    <w:rsid w:val="00551046"/>
    <w:rsid w:val="0056584D"/>
    <w:rsid w:val="00580CD4"/>
    <w:rsid w:val="00586B80"/>
    <w:rsid w:val="005874D9"/>
    <w:rsid w:val="00592D5E"/>
    <w:rsid w:val="0059344E"/>
    <w:rsid w:val="005935E8"/>
    <w:rsid w:val="00593F42"/>
    <w:rsid w:val="00594D22"/>
    <w:rsid w:val="00595759"/>
    <w:rsid w:val="00597987"/>
    <w:rsid w:val="005A70B1"/>
    <w:rsid w:val="005C014B"/>
    <w:rsid w:val="005C755E"/>
    <w:rsid w:val="005D5AA2"/>
    <w:rsid w:val="005D6404"/>
    <w:rsid w:val="005E37AA"/>
    <w:rsid w:val="005F1369"/>
    <w:rsid w:val="005F25A9"/>
    <w:rsid w:val="005F525B"/>
    <w:rsid w:val="005F62F3"/>
    <w:rsid w:val="00604B33"/>
    <w:rsid w:val="00611C43"/>
    <w:rsid w:val="00622429"/>
    <w:rsid w:val="00627044"/>
    <w:rsid w:val="006470AF"/>
    <w:rsid w:val="006605FC"/>
    <w:rsid w:val="00674C5E"/>
    <w:rsid w:val="00677159"/>
    <w:rsid w:val="00681E13"/>
    <w:rsid w:val="0069248D"/>
    <w:rsid w:val="00695BC5"/>
    <w:rsid w:val="006A6615"/>
    <w:rsid w:val="006B21F1"/>
    <w:rsid w:val="006B32D0"/>
    <w:rsid w:val="006C03C9"/>
    <w:rsid w:val="006C5A40"/>
    <w:rsid w:val="006D6F71"/>
    <w:rsid w:val="006E00EF"/>
    <w:rsid w:val="006E29F6"/>
    <w:rsid w:val="006F0EF9"/>
    <w:rsid w:val="00703192"/>
    <w:rsid w:val="00710D08"/>
    <w:rsid w:val="007125CA"/>
    <w:rsid w:val="007163EA"/>
    <w:rsid w:val="007256CC"/>
    <w:rsid w:val="00732D4A"/>
    <w:rsid w:val="00732D52"/>
    <w:rsid w:val="007339B0"/>
    <w:rsid w:val="007346E2"/>
    <w:rsid w:val="00735D10"/>
    <w:rsid w:val="00747D5A"/>
    <w:rsid w:val="00760DBA"/>
    <w:rsid w:val="00765BA0"/>
    <w:rsid w:val="00771BE4"/>
    <w:rsid w:val="00774ED3"/>
    <w:rsid w:val="00790982"/>
    <w:rsid w:val="007930E2"/>
    <w:rsid w:val="007A394C"/>
    <w:rsid w:val="007B5341"/>
    <w:rsid w:val="007C7128"/>
    <w:rsid w:val="007E2AAE"/>
    <w:rsid w:val="007E5400"/>
    <w:rsid w:val="007E65A1"/>
    <w:rsid w:val="007F10A3"/>
    <w:rsid w:val="007F2ABA"/>
    <w:rsid w:val="007F5B4C"/>
    <w:rsid w:val="007F602B"/>
    <w:rsid w:val="007F62BC"/>
    <w:rsid w:val="00805149"/>
    <w:rsid w:val="0080672D"/>
    <w:rsid w:val="008073F6"/>
    <w:rsid w:val="0081130E"/>
    <w:rsid w:val="00816329"/>
    <w:rsid w:val="0082072B"/>
    <w:rsid w:val="008214DA"/>
    <w:rsid w:val="00830213"/>
    <w:rsid w:val="0083106B"/>
    <w:rsid w:val="00831D82"/>
    <w:rsid w:val="00831E1A"/>
    <w:rsid w:val="00832BDC"/>
    <w:rsid w:val="00837C84"/>
    <w:rsid w:val="0085072E"/>
    <w:rsid w:val="00850B0D"/>
    <w:rsid w:val="00856DD0"/>
    <w:rsid w:val="00863864"/>
    <w:rsid w:val="00864C6C"/>
    <w:rsid w:val="00865842"/>
    <w:rsid w:val="008703DA"/>
    <w:rsid w:val="00870D9E"/>
    <w:rsid w:val="00883663"/>
    <w:rsid w:val="00884CC9"/>
    <w:rsid w:val="00884FEC"/>
    <w:rsid w:val="00887D7D"/>
    <w:rsid w:val="008911CA"/>
    <w:rsid w:val="00891849"/>
    <w:rsid w:val="0089439A"/>
    <w:rsid w:val="00894878"/>
    <w:rsid w:val="00897C09"/>
    <w:rsid w:val="008A00D2"/>
    <w:rsid w:val="008A27A4"/>
    <w:rsid w:val="008A5F2F"/>
    <w:rsid w:val="008C2486"/>
    <w:rsid w:val="008D042A"/>
    <w:rsid w:val="008E5862"/>
    <w:rsid w:val="008E75F1"/>
    <w:rsid w:val="008F28B1"/>
    <w:rsid w:val="008F332C"/>
    <w:rsid w:val="008F65C9"/>
    <w:rsid w:val="009070F3"/>
    <w:rsid w:val="009161F9"/>
    <w:rsid w:val="00917AF1"/>
    <w:rsid w:val="00920EF6"/>
    <w:rsid w:val="00926C9D"/>
    <w:rsid w:val="009356EB"/>
    <w:rsid w:val="0094341B"/>
    <w:rsid w:val="00943F3C"/>
    <w:rsid w:val="00946B3D"/>
    <w:rsid w:val="00951C34"/>
    <w:rsid w:val="00953BDD"/>
    <w:rsid w:val="0095416D"/>
    <w:rsid w:val="00956FA6"/>
    <w:rsid w:val="00961D92"/>
    <w:rsid w:val="00966811"/>
    <w:rsid w:val="00973249"/>
    <w:rsid w:val="0097355C"/>
    <w:rsid w:val="00984903"/>
    <w:rsid w:val="00984B86"/>
    <w:rsid w:val="00995E0C"/>
    <w:rsid w:val="009A7B86"/>
    <w:rsid w:val="009B7982"/>
    <w:rsid w:val="009D61AB"/>
    <w:rsid w:val="009E5167"/>
    <w:rsid w:val="009F0C54"/>
    <w:rsid w:val="009F240D"/>
    <w:rsid w:val="009F4657"/>
    <w:rsid w:val="009F6A4D"/>
    <w:rsid w:val="009F7EAF"/>
    <w:rsid w:val="00A02C8C"/>
    <w:rsid w:val="00A064A2"/>
    <w:rsid w:val="00A26356"/>
    <w:rsid w:val="00A30025"/>
    <w:rsid w:val="00A365F6"/>
    <w:rsid w:val="00A36E57"/>
    <w:rsid w:val="00A42F76"/>
    <w:rsid w:val="00A50BA8"/>
    <w:rsid w:val="00A521EB"/>
    <w:rsid w:val="00A66291"/>
    <w:rsid w:val="00A73D26"/>
    <w:rsid w:val="00A803A1"/>
    <w:rsid w:val="00A80415"/>
    <w:rsid w:val="00A839C3"/>
    <w:rsid w:val="00A93E0A"/>
    <w:rsid w:val="00A96A59"/>
    <w:rsid w:val="00AA047B"/>
    <w:rsid w:val="00AA4AE2"/>
    <w:rsid w:val="00AB332C"/>
    <w:rsid w:val="00AC03C3"/>
    <w:rsid w:val="00AC213A"/>
    <w:rsid w:val="00AC3AEB"/>
    <w:rsid w:val="00AC6AC3"/>
    <w:rsid w:val="00AE0F16"/>
    <w:rsid w:val="00AE292B"/>
    <w:rsid w:val="00AE43EE"/>
    <w:rsid w:val="00AF2A67"/>
    <w:rsid w:val="00B013B1"/>
    <w:rsid w:val="00B078C3"/>
    <w:rsid w:val="00B16266"/>
    <w:rsid w:val="00B31F03"/>
    <w:rsid w:val="00B325AC"/>
    <w:rsid w:val="00B45DB7"/>
    <w:rsid w:val="00B542FC"/>
    <w:rsid w:val="00B568DC"/>
    <w:rsid w:val="00B6100A"/>
    <w:rsid w:val="00B61166"/>
    <w:rsid w:val="00B76DF0"/>
    <w:rsid w:val="00B85400"/>
    <w:rsid w:val="00B905B0"/>
    <w:rsid w:val="00B90B90"/>
    <w:rsid w:val="00BA062E"/>
    <w:rsid w:val="00BA0ED9"/>
    <w:rsid w:val="00BC3C64"/>
    <w:rsid w:val="00BC6F39"/>
    <w:rsid w:val="00BD0739"/>
    <w:rsid w:val="00BD18F2"/>
    <w:rsid w:val="00BE059F"/>
    <w:rsid w:val="00BE4180"/>
    <w:rsid w:val="00BF0AD5"/>
    <w:rsid w:val="00BF2288"/>
    <w:rsid w:val="00BF33F2"/>
    <w:rsid w:val="00BF356C"/>
    <w:rsid w:val="00BF5E6B"/>
    <w:rsid w:val="00C02F4A"/>
    <w:rsid w:val="00C14713"/>
    <w:rsid w:val="00C154E4"/>
    <w:rsid w:val="00C171C7"/>
    <w:rsid w:val="00C1744E"/>
    <w:rsid w:val="00C17E32"/>
    <w:rsid w:val="00C224B1"/>
    <w:rsid w:val="00C30FBC"/>
    <w:rsid w:val="00C33755"/>
    <w:rsid w:val="00C34959"/>
    <w:rsid w:val="00C46FE5"/>
    <w:rsid w:val="00C64995"/>
    <w:rsid w:val="00C74826"/>
    <w:rsid w:val="00C836EA"/>
    <w:rsid w:val="00C84513"/>
    <w:rsid w:val="00C84B15"/>
    <w:rsid w:val="00CA3CC3"/>
    <w:rsid w:val="00CB1DA9"/>
    <w:rsid w:val="00CC051A"/>
    <w:rsid w:val="00CD431D"/>
    <w:rsid w:val="00CE1CF2"/>
    <w:rsid w:val="00CE2122"/>
    <w:rsid w:val="00CE498E"/>
    <w:rsid w:val="00CE546E"/>
    <w:rsid w:val="00CE75A8"/>
    <w:rsid w:val="00CF3F1F"/>
    <w:rsid w:val="00CF5BC0"/>
    <w:rsid w:val="00D12F86"/>
    <w:rsid w:val="00D157E8"/>
    <w:rsid w:val="00D15C40"/>
    <w:rsid w:val="00D22A8A"/>
    <w:rsid w:val="00D2592E"/>
    <w:rsid w:val="00D27830"/>
    <w:rsid w:val="00D34173"/>
    <w:rsid w:val="00D34221"/>
    <w:rsid w:val="00D354C6"/>
    <w:rsid w:val="00D44337"/>
    <w:rsid w:val="00D62C48"/>
    <w:rsid w:val="00D64CF5"/>
    <w:rsid w:val="00D7125F"/>
    <w:rsid w:val="00D774A6"/>
    <w:rsid w:val="00D8782A"/>
    <w:rsid w:val="00DD497F"/>
    <w:rsid w:val="00DE2317"/>
    <w:rsid w:val="00DF70B1"/>
    <w:rsid w:val="00DF7372"/>
    <w:rsid w:val="00E01BCB"/>
    <w:rsid w:val="00E054F6"/>
    <w:rsid w:val="00E11831"/>
    <w:rsid w:val="00E14547"/>
    <w:rsid w:val="00E26E2E"/>
    <w:rsid w:val="00E331A2"/>
    <w:rsid w:val="00E35860"/>
    <w:rsid w:val="00E4072F"/>
    <w:rsid w:val="00E6032D"/>
    <w:rsid w:val="00E66202"/>
    <w:rsid w:val="00E75621"/>
    <w:rsid w:val="00E76485"/>
    <w:rsid w:val="00E84AED"/>
    <w:rsid w:val="00E8505D"/>
    <w:rsid w:val="00EA5021"/>
    <w:rsid w:val="00EA5DDC"/>
    <w:rsid w:val="00EA7CDA"/>
    <w:rsid w:val="00ED43B6"/>
    <w:rsid w:val="00ED75E7"/>
    <w:rsid w:val="00EE1C2D"/>
    <w:rsid w:val="00EE20C9"/>
    <w:rsid w:val="00EF0AA9"/>
    <w:rsid w:val="00EF11C5"/>
    <w:rsid w:val="00EF3B31"/>
    <w:rsid w:val="00EF7BA8"/>
    <w:rsid w:val="00F10419"/>
    <w:rsid w:val="00F11BC6"/>
    <w:rsid w:val="00F20CA6"/>
    <w:rsid w:val="00F235B8"/>
    <w:rsid w:val="00F32B21"/>
    <w:rsid w:val="00F40A25"/>
    <w:rsid w:val="00F42EAA"/>
    <w:rsid w:val="00F56F2A"/>
    <w:rsid w:val="00F60BF1"/>
    <w:rsid w:val="00F6584C"/>
    <w:rsid w:val="00F66A5F"/>
    <w:rsid w:val="00F7127C"/>
    <w:rsid w:val="00F80945"/>
    <w:rsid w:val="00F83F8A"/>
    <w:rsid w:val="00F925A0"/>
    <w:rsid w:val="00F947FD"/>
    <w:rsid w:val="00FB6EE2"/>
    <w:rsid w:val="00FB7660"/>
    <w:rsid w:val="00FC17D4"/>
    <w:rsid w:val="00FC3A4B"/>
    <w:rsid w:val="00FC7677"/>
    <w:rsid w:val="00FE5D11"/>
    <w:rsid w:val="00FF1EC3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7B737"/>
  <w15:chartTrackingRefBased/>
  <w15:docId w15:val="{CF0F6A7A-A3C9-4258-B25D-462871B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subhead"/>
    <w:basedOn w:val="Normal"/>
    <w:next w:val="NormalIndent"/>
    <w:qFormat/>
    <w:rsid w:val="00D2592E"/>
    <w:pPr>
      <w:keepNext/>
      <w:pageBreakBefore/>
      <w:tabs>
        <w:tab w:val="num" w:pos="0"/>
      </w:tabs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Verdana" w:hAnsi="Verdana"/>
      <w:b/>
      <w:kern w:val="28"/>
      <w:lang w:val="en-GB"/>
    </w:rPr>
  </w:style>
  <w:style w:type="paragraph" w:styleId="Heading2">
    <w:name w:val="heading 2"/>
    <w:basedOn w:val="Normal"/>
    <w:next w:val="Normal"/>
    <w:qFormat/>
    <w:rsid w:val="008310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,(Appendix Nbr),Level 1 - 1,Heading 3 Char Char"/>
    <w:basedOn w:val="Normal"/>
    <w:next w:val="Normal"/>
    <w:link w:val="Heading3Char"/>
    <w:qFormat/>
    <w:rsid w:val="008310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(Small Appendix),Level 2 - a"/>
    <w:basedOn w:val="Normal"/>
    <w:next w:val="NormalIndent"/>
    <w:qFormat/>
    <w:rsid w:val="00D2592E"/>
    <w:pPr>
      <w:keepNext/>
      <w:tabs>
        <w:tab w:val="num" w:pos="0"/>
      </w:tabs>
      <w:overflowPunct w:val="0"/>
      <w:autoSpaceDE w:val="0"/>
      <w:autoSpaceDN w:val="0"/>
      <w:adjustRightInd w:val="0"/>
      <w:spacing w:before="120" w:after="60"/>
      <w:textAlignment w:val="baseline"/>
      <w:outlineLvl w:val="3"/>
    </w:pPr>
    <w:rPr>
      <w:rFonts w:ascii="Verdana" w:hAnsi="Verdana"/>
      <w:sz w:val="22"/>
      <w:szCs w:val="22"/>
      <w:u w:val="single"/>
      <w:lang w:val="en-GB"/>
    </w:rPr>
  </w:style>
  <w:style w:type="paragraph" w:styleId="Heading5">
    <w:name w:val="heading 5"/>
    <w:basedOn w:val="Normal"/>
    <w:next w:val="Normal"/>
    <w:autoRedefine/>
    <w:qFormat/>
    <w:rsid w:val="0004704B"/>
    <w:pPr>
      <w:keepNext/>
      <w:keepLines/>
      <w:numPr>
        <w:numId w:val="5"/>
      </w:numPr>
      <w:spacing w:before="120" w:after="120"/>
      <w:outlineLvl w:val="4"/>
    </w:pPr>
    <w:rPr>
      <w:rFonts w:ascii="Arial" w:hAnsi="Arial"/>
      <w:sz w:val="22"/>
      <w:szCs w:val="20"/>
      <w:u w:val="single"/>
      <w:lang w:val="en-GB"/>
    </w:rPr>
  </w:style>
  <w:style w:type="paragraph" w:styleId="Heading6">
    <w:name w:val="heading 6"/>
    <w:basedOn w:val="Normal"/>
    <w:next w:val="Normal"/>
    <w:qFormat/>
    <w:rsid w:val="00D2592E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D2592E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rsid w:val="00D2592E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rsid w:val="00D2592E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Verdana" w:hAnsi="Verdana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62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62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62BC"/>
  </w:style>
  <w:style w:type="table" w:customStyle="1" w:styleId="TableStyle1">
    <w:name w:val="Table Style1"/>
    <w:basedOn w:val="TableNormal"/>
    <w:rsid w:val="00D12F86"/>
    <w:tblPr>
      <w:tblBorders>
        <w:top w:val="single" w:sz="4" w:space="0" w:color="808080"/>
        <w:bottom w:val="single" w:sz="4" w:space="0" w:color="999999"/>
        <w:insideH w:val="single" w:sz="4" w:space="0" w:color="808080"/>
      </w:tblBorders>
    </w:tblPr>
  </w:style>
  <w:style w:type="paragraph" w:styleId="NormalIndent">
    <w:name w:val="Normal Indent"/>
    <w:basedOn w:val="Normal"/>
    <w:rsid w:val="000860BB"/>
    <w:pPr>
      <w:spacing w:after="120"/>
      <w:ind w:left="720"/>
    </w:pPr>
    <w:rPr>
      <w:rFonts w:ascii="Arial" w:hAnsi="Arial"/>
      <w:sz w:val="22"/>
      <w:szCs w:val="20"/>
      <w:lang w:val="en-GB"/>
    </w:rPr>
  </w:style>
  <w:style w:type="paragraph" w:styleId="ListBullet">
    <w:name w:val="List Bullet"/>
    <w:basedOn w:val="Normal"/>
    <w:autoRedefine/>
    <w:rsid w:val="00C64995"/>
    <w:pPr>
      <w:tabs>
        <w:tab w:val="left" w:pos="3869"/>
      </w:tabs>
      <w:spacing w:after="120"/>
    </w:pPr>
    <w:rPr>
      <w:rFonts w:ascii="Arial" w:hAnsi="Arial"/>
      <w:sz w:val="22"/>
      <w:szCs w:val="20"/>
      <w:lang w:val="en-GB"/>
    </w:rPr>
  </w:style>
  <w:style w:type="paragraph" w:customStyle="1" w:styleId="a">
    <w:name w:val="_"/>
    <w:basedOn w:val="Normal"/>
    <w:rsid w:val="002066B9"/>
    <w:pPr>
      <w:spacing w:after="120"/>
      <w:ind w:left="696" w:hanging="696"/>
    </w:pPr>
    <w:rPr>
      <w:rFonts w:ascii="Arial" w:hAnsi="Arial"/>
      <w:sz w:val="22"/>
      <w:szCs w:val="20"/>
      <w:lang w:val="en-GB"/>
    </w:rPr>
  </w:style>
  <w:style w:type="paragraph" w:styleId="ListBullet2">
    <w:name w:val="List Bullet 2"/>
    <w:basedOn w:val="Normal"/>
    <w:autoRedefine/>
    <w:rsid w:val="00122B30"/>
    <w:pPr>
      <w:numPr>
        <w:numId w:val="4"/>
      </w:numPr>
      <w:spacing w:after="120"/>
    </w:pPr>
    <w:rPr>
      <w:rFonts w:ascii="Arial" w:hAnsi="Arial"/>
      <w:sz w:val="22"/>
      <w:szCs w:val="20"/>
      <w:lang w:val="en-GB"/>
    </w:rPr>
  </w:style>
  <w:style w:type="paragraph" w:customStyle="1" w:styleId="BulletSymbol">
    <w:name w:val="Bullet (Symbol)"/>
    <w:basedOn w:val="Normal"/>
    <w:next w:val="Normal"/>
    <w:rsid w:val="00C836EA"/>
    <w:pPr>
      <w:numPr>
        <w:numId w:val="6"/>
      </w:numPr>
      <w:spacing w:before="80" w:after="80"/>
    </w:pPr>
    <w:rPr>
      <w:rFonts w:ascii="Tahoma" w:hAnsi="Tahoma"/>
      <w:sz w:val="20"/>
      <w:szCs w:val="20"/>
      <w:lang w:val="en-NZ"/>
    </w:rPr>
  </w:style>
  <w:style w:type="paragraph" w:styleId="BalloonText">
    <w:name w:val="Balloon Text"/>
    <w:basedOn w:val="Normal"/>
    <w:link w:val="BalloonTextChar"/>
    <w:rsid w:val="00B61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166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E75A8"/>
    <w:rPr>
      <w:sz w:val="24"/>
      <w:szCs w:val="24"/>
      <w:lang w:val="en-US" w:eastAsia="en-US"/>
    </w:rPr>
  </w:style>
  <w:style w:type="character" w:styleId="CommentReference">
    <w:name w:val="annotation reference"/>
    <w:rsid w:val="005478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7836"/>
    <w:rPr>
      <w:sz w:val="20"/>
      <w:szCs w:val="20"/>
    </w:rPr>
  </w:style>
  <w:style w:type="character" w:customStyle="1" w:styleId="CommentTextChar">
    <w:name w:val="Comment Text Char"/>
    <w:link w:val="CommentText"/>
    <w:rsid w:val="0054783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7836"/>
    <w:rPr>
      <w:b/>
      <w:bCs/>
    </w:rPr>
  </w:style>
  <w:style w:type="character" w:customStyle="1" w:styleId="CommentSubjectChar">
    <w:name w:val="Comment Subject Char"/>
    <w:link w:val="CommentSubject"/>
    <w:rsid w:val="00547836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D15C40"/>
    <w:pPr>
      <w:spacing w:before="100" w:beforeAutospacing="1" w:after="100" w:afterAutospacing="1"/>
    </w:pPr>
    <w:rPr>
      <w:lang w:val="en-NZ" w:eastAsia="en-NZ"/>
    </w:rPr>
  </w:style>
  <w:style w:type="character" w:customStyle="1" w:styleId="Heading3Char">
    <w:name w:val="Heading 3 Char"/>
    <w:aliases w:val="Section Char,(Appendix Nbr) Char,Level 1 - 1 Char,Heading 3 Char Char Char"/>
    <w:basedOn w:val="DefaultParagraphFont"/>
    <w:link w:val="Heading3"/>
    <w:rsid w:val="00C74826"/>
    <w:rPr>
      <w:rFonts w:ascii="Arial" w:hAnsi="Arial" w:cs="Arial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40bb95-2a86-4201-a9f8-eb77e47ad5c3" xsi:nil="true"/>
    <lcf76f155ced4ddcb4097134ff3c332f xmlns="9ff9992a-f9a2-4005-8dd6-337693557d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EFABCCD0EFA4FBF7F0ABB6E2A5F86" ma:contentTypeVersion="18" ma:contentTypeDescription="Create a new document." ma:contentTypeScope="" ma:versionID="47124d4099ed3f7042e90ac8ac14afe2">
  <xsd:schema xmlns:xsd="http://www.w3.org/2001/XMLSchema" xmlns:xs="http://www.w3.org/2001/XMLSchema" xmlns:p="http://schemas.microsoft.com/office/2006/metadata/properties" xmlns:ns2="9ff9992a-f9a2-4005-8dd6-337693557d1a" xmlns:ns3="79c85dc0-afa9-467a-9b4d-92de4d047698" xmlns:ns4="9340bb95-2a86-4201-a9f8-eb77e47ad5c3" targetNamespace="http://schemas.microsoft.com/office/2006/metadata/properties" ma:root="true" ma:fieldsID="8b0fb53302fb665ec737b6e2ed32074c" ns2:_="" ns3:_="" ns4:_="">
    <xsd:import namespace="9ff9992a-f9a2-4005-8dd6-337693557d1a"/>
    <xsd:import namespace="79c85dc0-afa9-467a-9b4d-92de4d047698"/>
    <xsd:import namespace="9340bb95-2a86-4201-a9f8-eb77e47ad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9992a-f9a2-4005-8dd6-33769355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0a4628-3fb5-4281-b165-1d6faf676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85dc0-afa9-467a-9b4d-92de4d047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0bb95-2a86-4201-a9f8-eb77e47ad5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d5b8ac-1677-4a1e-a653-0cb473d8c0f9}" ma:internalName="TaxCatchAll" ma:showField="CatchAllData" ma:web="79c85dc0-afa9-467a-9b4d-92de4d047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A5D595-5C3A-4E0A-8F7A-12EAB63D8C11}">
  <ds:schemaRefs>
    <ds:schemaRef ds:uri="http://schemas.microsoft.com/office/2006/metadata/properties"/>
    <ds:schemaRef ds:uri="http://schemas.microsoft.com/office/infopath/2007/PartnerControls"/>
    <ds:schemaRef ds:uri="9340bb95-2a86-4201-a9f8-eb77e47ad5c3"/>
    <ds:schemaRef ds:uri="9ff9992a-f9a2-4005-8dd6-337693557d1a"/>
  </ds:schemaRefs>
</ds:datastoreItem>
</file>

<file path=customXml/itemProps2.xml><?xml version="1.0" encoding="utf-8"?>
<ds:datastoreItem xmlns:ds="http://schemas.openxmlformats.org/officeDocument/2006/customXml" ds:itemID="{00579058-D6F8-4D56-9C6A-8A02A0CB04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734A3D-7B66-4C3B-923B-CB1CCE89C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9992a-f9a2-4005-8dd6-337693557d1a"/>
    <ds:schemaRef ds:uri="79c85dc0-afa9-467a-9b4d-92de4d047698"/>
    <ds:schemaRef ds:uri="9340bb95-2a86-4201-a9f8-eb77e47ad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6EAE5-447C-492D-AB13-BD900CAE1D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13E7B1-C48D-4FF4-B4FB-A98E1910E8F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Development &amp; Support Manager</vt:lpstr>
    </vt:vector>
  </TitlesOfParts>
  <Company>FMG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Development &amp; Support Manager</dc:title>
  <dc:subject/>
  <dc:creator>fmghmm1</dc:creator>
  <cp:keywords/>
  <cp:lastModifiedBy>Emma Osmond-Wilson</cp:lastModifiedBy>
  <cp:revision>4</cp:revision>
  <cp:lastPrinted>2016-07-19T02:07:00Z</cp:lastPrinted>
  <dcterms:created xsi:type="dcterms:W3CDTF">2024-10-02T23:55:00Z</dcterms:created>
  <dcterms:modified xsi:type="dcterms:W3CDTF">2025-03-25T00:32:00Z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Emma Osmond-Wilson</vt:lpwstr>
  </property>
  <property fmtid="{D5CDD505-2E9C-101B-9397-08002B2CF9AE}" pid="3" name="display_urn:schemas-microsoft-com:office:office#Author">
    <vt:lpwstr>Sharegate Service Account (O365 project)</vt:lpwstr>
  </property>
  <property fmtid="{D5CDD505-2E9C-101B-9397-08002B2CF9AE}" pid="4" name="ContentTypeId">
    <vt:lpwstr>0x010100E80EFABCCD0EFA4FBF7F0ABB6E2A5F86</vt:lpwstr>
  </property>
  <property fmtid="{D5CDD505-2E9C-101B-9397-08002B2CF9AE}" pid="5" name="MediaServiceImageTags">
    <vt:lpwstr/>
  </property>
</Properties>
</file>