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C2E49" w14:textId="77777777" w:rsidR="006D02B5" w:rsidRDefault="006D02B5" w:rsidP="003938B2">
      <w:pPr>
        <w:rPr>
          <w:rFonts w:ascii="Arial" w:hAnsi="Arial" w:cs="Arial"/>
          <w:color w:val="808080"/>
          <w:sz w:val="40"/>
          <w:szCs w:val="40"/>
        </w:rPr>
      </w:pPr>
    </w:p>
    <w:p w14:paraId="46AE0543" w14:textId="77777777" w:rsidR="006D02B5" w:rsidRDefault="006D02B5" w:rsidP="003938B2">
      <w:pPr>
        <w:rPr>
          <w:rFonts w:ascii="Arial" w:hAnsi="Arial" w:cs="Arial"/>
          <w:color w:val="808080"/>
          <w:sz w:val="40"/>
          <w:szCs w:val="40"/>
        </w:rPr>
      </w:pPr>
    </w:p>
    <w:p w14:paraId="7BF479D3" w14:textId="4F353138" w:rsidR="007F62BC" w:rsidRPr="005B09D5" w:rsidRDefault="00AE5B7A" w:rsidP="003938B2">
      <w:pPr>
        <w:rPr>
          <w:rFonts w:ascii="Arial" w:hAnsi="Arial" w:cs="Arial"/>
          <w:color w:val="808080"/>
          <w:sz w:val="40"/>
          <w:szCs w:val="40"/>
        </w:rPr>
      </w:pPr>
      <w:r>
        <w:rPr>
          <w:rFonts w:ascii="Arial" w:hAnsi="Arial" w:cs="Arial"/>
          <w:noProof/>
          <w:color w:val="808080"/>
          <w:sz w:val="40"/>
          <w:szCs w:val="40"/>
          <w:lang w:val="en-GB" w:eastAsia="en-GB" w:bidi="te"/>
        </w:rPr>
        <w:pict w14:anchorId="75A28013">
          <v:rect id="_x0000_s2050" style="position:absolute;margin-left:-9pt;margin-top:-45pt;width:513pt;height:53.95pt;z-index:251656704;v-text-anchor:middle" filled="f" fillcolor="#bbe0e3" stroked="f">
            <v:textbox style="mso-next-textbox:#_x0000_s2050">
              <w:txbxContent>
                <w:p w14:paraId="335F134C" w14:textId="77777777" w:rsidR="007F62BC" w:rsidRPr="005B09D5" w:rsidRDefault="003C584B" w:rsidP="00943F3C">
                  <w:pPr>
                    <w:autoSpaceDE w:val="0"/>
                    <w:autoSpaceDN w:val="0"/>
                    <w:adjustRightInd w:val="0"/>
                    <w:spacing w:before="240"/>
                    <w:rPr>
                      <w:rFonts w:ascii="Arial" w:hAnsi="Arial" w:cs="Arial"/>
                      <w:i/>
                      <w:iCs/>
                      <w:color w:val="00703C"/>
                      <w:sz w:val="32"/>
                      <w:szCs w:val="32"/>
                    </w:rPr>
                  </w:pPr>
                  <w:r w:rsidRPr="005B09D5">
                    <w:rPr>
                      <w:rFonts w:ascii="Arial" w:hAnsi="Arial" w:cs="Arial"/>
                      <w:i/>
                      <w:iCs/>
                      <w:color w:val="00703C"/>
                      <w:sz w:val="32"/>
                      <w:szCs w:val="32"/>
                    </w:rPr>
                    <w:t>Position Description</w:t>
                  </w:r>
                </w:p>
              </w:txbxContent>
            </v:textbox>
          </v:rect>
        </w:pict>
      </w:r>
      <w:r>
        <w:rPr>
          <w:rFonts w:ascii="Arial" w:hAnsi="Arial" w:cs="Arial"/>
          <w:noProof/>
          <w:sz w:val="40"/>
          <w:szCs w:val="40"/>
        </w:rPr>
        <w:pict w14:anchorId="76183E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90.5pt;margin-top:-63.1pt;width:253.6pt;height:118pt;z-index:-251658752">
            <v:imagedata r:id="rId11" o:title="764_FMG_Letterhead_Elements_HEADOFFICE" cropbottom="33331f"/>
          </v:shape>
        </w:pict>
      </w:r>
      <w:r w:rsidR="009B4A7B">
        <w:rPr>
          <w:rFonts w:ascii="Arial" w:hAnsi="Arial" w:cs="Arial"/>
          <w:color w:val="808080"/>
          <w:sz w:val="40"/>
          <w:szCs w:val="40"/>
        </w:rPr>
        <w:t>D</w:t>
      </w:r>
      <w:r w:rsidR="000745DE">
        <w:rPr>
          <w:rFonts w:ascii="Arial" w:hAnsi="Arial" w:cs="Arial"/>
          <w:color w:val="808080"/>
          <w:sz w:val="40"/>
          <w:szCs w:val="40"/>
        </w:rPr>
        <w:t>ata &amp; Information Governance Manager</w:t>
      </w:r>
    </w:p>
    <w:p w14:paraId="6CF27F3F" w14:textId="77777777" w:rsidR="003938B2" w:rsidRPr="005B09D5" w:rsidRDefault="003938B2" w:rsidP="008F28B1">
      <w:pPr>
        <w:tabs>
          <w:tab w:val="left" w:pos="2880"/>
        </w:tabs>
        <w:spacing w:before="120" w:after="120"/>
        <w:rPr>
          <w:rFonts w:ascii="Arial" w:hAnsi="Arial" w:cs="Arial"/>
          <w:b/>
          <w:sz w:val="22"/>
          <w:szCs w:val="22"/>
        </w:rPr>
      </w:pPr>
    </w:p>
    <w:p w14:paraId="2E088DCC" w14:textId="77777777" w:rsidR="00AC3AEB" w:rsidRPr="005B09D5" w:rsidRDefault="00AE5B7A" w:rsidP="008F28B1">
      <w:pPr>
        <w:tabs>
          <w:tab w:val="left" w:pos="2880"/>
        </w:tabs>
        <w:spacing w:before="120" w:after="120"/>
        <w:rPr>
          <w:rFonts w:ascii="Arial" w:hAnsi="Arial" w:cs="Arial"/>
          <w:bCs/>
          <w:sz w:val="20"/>
          <w:szCs w:val="20"/>
        </w:rPr>
      </w:pPr>
      <w:r>
        <w:rPr>
          <w:rFonts w:ascii="Arial" w:hAnsi="Arial" w:cs="Arial"/>
          <w:noProof/>
          <w:color w:val="00703C"/>
          <w:sz w:val="20"/>
          <w:szCs w:val="20"/>
          <w:lang w:val="en-GB" w:eastAsia="en-GB" w:bidi="te"/>
        </w:rPr>
        <w:pict w14:anchorId="1B2B6015">
          <v:shape id="_x0000_s2052" type="#_x0000_t75" style="position:absolute;margin-left:407.7pt;margin-top:2.55pt;width:109.6pt;height:61pt;z-index:-251657728">
            <v:imagedata r:id="rId11" o:title="764_FMG_Letterhead_Elements_HEADOFFICE" croptop="29476f" cropbottom="19412f" cropleft="37213f"/>
          </v:shape>
        </w:pict>
      </w:r>
      <w:r w:rsidR="00AC3AEB" w:rsidRPr="005B09D5">
        <w:rPr>
          <w:rFonts w:ascii="Arial" w:hAnsi="Arial" w:cs="Arial"/>
          <w:bCs/>
          <w:i/>
          <w:iCs/>
          <w:color w:val="00703C"/>
          <w:sz w:val="20"/>
          <w:szCs w:val="20"/>
        </w:rPr>
        <w:t>Location:</w:t>
      </w:r>
      <w:r w:rsidR="00AC3AEB" w:rsidRPr="005B09D5">
        <w:rPr>
          <w:rFonts w:ascii="Arial" w:hAnsi="Arial" w:cs="Arial"/>
          <w:bCs/>
          <w:sz w:val="20"/>
          <w:szCs w:val="20"/>
        </w:rPr>
        <w:tab/>
      </w:r>
      <w:smartTag w:uri="urn:schemas-microsoft-com:office:smarttags" w:element="City">
        <w:smartTag w:uri="urn:schemas-microsoft-com:office:smarttags" w:element="place">
          <w:r w:rsidR="008B60AB" w:rsidRPr="005B09D5">
            <w:rPr>
              <w:rFonts w:ascii="Arial" w:hAnsi="Arial" w:cs="Arial"/>
              <w:bCs/>
              <w:color w:val="808080"/>
              <w:sz w:val="20"/>
              <w:szCs w:val="20"/>
            </w:rPr>
            <w:t>Wellington</w:t>
          </w:r>
        </w:smartTag>
      </w:smartTag>
    </w:p>
    <w:p w14:paraId="193492F8" w14:textId="24C4423E" w:rsidR="00AC3AEB" w:rsidRPr="005B09D5" w:rsidRDefault="00AC3AEB" w:rsidP="008F28B1">
      <w:pPr>
        <w:tabs>
          <w:tab w:val="left" w:pos="2880"/>
        </w:tabs>
        <w:spacing w:before="120" w:after="120"/>
        <w:rPr>
          <w:rFonts w:ascii="Arial" w:hAnsi="Arial" w:cs="Arial"/>
          <w:bCs/>
          <w:color w:val="808080"/>
          <w:sz w:val="20"/>
          <w:szCs w:val="20"/>
        </w:rPr>
      </w:pPr>
      <w:r w:rsidRPr="005B09D5">
        <w:rPr>
          <w:rFonts w:ascii="Arial" w:hAnsi="Arial" w:cs="Arial"/>
          <w:bCs/>
          <w:i/>
          <w:iCs/>
          <w:color w:val="00703C"/>
          <w:sz w:val="20"/>
          <w:szCs w:val="20"/>
        </w:rPr>
        <w:t>Reporting to:</w:t>
      </w:r>
      <w:r w:rsidR="002F29A5" w:rsidRPr="005B09D5">
        <w:rPr>
          <w:rFonts w:ascii="Arial" w:hAnsi="Arial" w:cs="Arial"/>
          <w:bCs/>
          <w:sz w:val="20"/>
          <w:szCs w:val="20"/>
        </w:rPr>
        <w:tab/>
      </w:r>
      <w:r w:rsidR="008B7FAA" w:rsidRPr="008B7FAA">
        <w:rPr>
          <w:rFonts w:ascii="Arial" w:hAnsi="Arial" w:cs="Arial"/>
          <w:bCs/>
          <w:color w:val="808080"/>
          <w:sz w:val="20"/>
          <w:szCs w:val="20"/>
        </w:rPr>
        <w:t xml:space="preserve">Head of </w:t>
      </w:r>
      <w:r w:rsidR="009D274B">
        <w:rPr>
          <w:rFonts w:ascii="Arial" w:hAnsi="Arial" w:cs="Arial"/>
          <w:bCs/>
          <w:color w:val="808080"/>
          <w:sz w:val="20"/>
          <w:szCs w:val="20"/>
        </w:rPr>
        <w:t>Data, Information &amp; Analytics</w:t>
      </w:r>
    </w:p>
    <w:p w14:paraId="10F6EEFE" w14:textId="4C3E78E1" w:rsidR="00AE40FF" w:rsidRPr="005B09D5" w:rsidRDefault="000E363D" w:rsidP="008F28B1">
      <w:pPr>
        <w:tabs>
          <w:tab w:val="left" w:pos="2880"/>
        </w:tabs>
        <w:spacing w:before="120" w:after="120"/>
        <w:rPr>
          <w:rFonts w:ascii="Arial" w:hAnsi="Arial" w:cs="Arial"/>
          <w:bCs/>
          <w:color w:val="808080"/>
          <w:sz w:val="20"/>
          <w:szCs w:val="20"/>
        </w:rPr>
      </w:pPr>
      <w:r w:rsidRPr="005B09D5">
        <w:rPr>
          <w:rFonts w:ascii="Arial" w:hAnsi="Arial" w:cs="Arial"/>
          <w:bCs/>
          <w:i/>
          <w:iCs/>
          <w:color w:val="00703C"/>
          <w:sz w:val="20"/>
          <w:szCs w:val="20"/>
        </w:rPr>
        <w:t>Business Unit:</w:t>
      </w:r>
      <w:r w:rsidRPr="005B09D5">
        <w:rPr>
          <w:rFonts w:ascii="Arial" w:hAnsi="Arial" w:cs="Arial"/>
          <w:bCs/>
          <w:sz w:val="20"/>
          <w:szCs w:val="20"/>
        </w:rPr>
        <w:tab/>
      </w:r>
      <w:r w:rsidR="009D274B">
        <w:rPr>
          <w:rFonts w:ascii="Arial" w:hAnsi="Arial" w:cs="Arial"/>
          <w:bCs/>
          <w:color w:val="808080"/>
          <w:sz w:val="20"/>
          <w:szCs w:val="20"/>
        </w:rPr>
        <w:t>Digital &amp; Data</w:t>
      </w:r>
    </w:p>
    <w:p w14:paraId="6C3B30E8" w14:textId="77777777" w:rsidR="0083106B" w:rsidRPr="005B09D5" w:rsidRDefault="0083106B" w:rsidP="008F28B1">
      <w:pPr>
        <w:tabs>
          <w:tab w:val="left" w:pos="2880"/>
        </w:tabs>
        <w:spacing w:before="120" w:after="120"/>
        <w:rPr>
          <w:rFonts w:ascii="Arial" w:hAnsi="Arial" w:cs="Arial"/>
          <w:bCs/>
          <w:sz w:val="20"/>
          <w:szCs w:val="20"/>
        </w:rPr>
      </w:pPr>
      <w:r w:rsidRPr="005B09D5">
        <w:rPr>
          <w:rFonts w:ascii="Arial" w:hAnsi="Arial" w:cs="Arial"/>
          <w:bCs/>
          <w:i/>
          <w:iCs/>
          <w:color w:val="00703C"/>
          <w:sz w:val="20"/>
          <w:szCs w:val="20"/>
        </w:rPr>
        <w:t>Direct Reports:</w:t>
      </w:r>
      <w:r w:rsidRPr="005B09D5">
        <w:rPr>
          <w:rFonts w:ascii="Arial" w:hAnsi="Arial" w:cs="Arial"/>
          <w:bCs/>
          <w:sz w:val="20"/>
          <w:szCs w:val="20"/>
        </w:rPr>
        <w:tab/>
      </w:r>
      <w:r w:rsidR="005117DD">
        <w:rPr>
          <w:rFonts w:ascii="Arial" w:hAnsi="Arial" w:cs="Arial"/>
          <w:bCs/>
          <w:color w:val="808080"/>
          <w:sz w:val="20"/>
          <w:szCs w:val="20"/>
        </w:rPr>
        <w:t>Variable</w:t>
      </w:r>
    </w:p>
    <w:p w14:paraId="35D01BAF" w14:textId="429FDCAD" w:rsidR="008F28B1" w:rsidRPr="005B09D5" w:rsidRDefault="00AC3AEB" w:rsidP="008F28B1">
      <w:pPr>
        <w:tabs>
          <w:tab w:val="left" w:pos="2880"/>
        </w:tabs>
        <w:spacing w:before="120"/>
        <w:rPr>
          <w:rFonts w:ascii="Arial" w:hAnsi="Arial" w:cs="Arial"/>
        </w:rPr>
      </w:pPr>
      <w:r w:rsidRPr="005B09D5">
        <w:rPr>
          <w:rFonts w:ascii="Arial" w:hAnsi="Arial" w:cs="Arial"/>
          <w:bCs/>
          <w:i/>
          <w:iCs/>
          <w:color w:val="00703C"/>
          <w:sz w:val="20"/>
          <w:szCs w:val="20"/>
        </w:rPr>
        <w:t>Date</w:t>
      </w:r>
      <w:r w:rsidR="005117DD">
        <w:rPr>
          <w:rFonts w:ascii="Arial" w:hAnsi="Arial" w:cs="Arial"/>
          <w:bCs/>
          <w:i/>
          <w:iCs/>
          <w:color w:val="00703C"/>
          <w:sz w:val="20"/>
          <w:szCs w:val="20"/>
        </w:rPr>
        <w:t xml:space="preserve"> Last Reviewed</w:t>
      </w:r>
      <w:r w:rsidRPr="005B09D5">
        <w:rPr>
          <w:rFonts w:ascii="Arial" w:hAnsi="Arial" w:cs="Arial"/>
          <w:bCs/>
          <w:i/>
          <w:iCs/>
          <w:color w:val="00703C"/>
          <w:sz w:val="20"/>
          <w:szCs w:val="20"/>
        </w:rPr>
        <w:t>:</w:t>
      </w:r>
      <w:r w:rsidRPr="005B09D5">
        <w:rPr>
          <w:rFonts w:ascii="Arial" w:hAnsi="Arial" w:cs="Arial"/>
          <w:sz w:val="20"/>
          <w:szCs w:val="20"/>
        </w:rPr>
        <w:tab/>
      </w:r>
      <w:r w:rsidR="00631A44">
        <w:rPr>
          <w:rFonts w:ascii="Arial" w:hAnsi="Arial" w:cs="Arial"/>
          <w:color w:val="808080"/>
          <w:sz w:val="20"/>
          <w:szCs w:val="20"/>
        </w:rPr>
        <w:t>February</w:t>
      </w:r>
      <w:r w:rsidR="00662326">
        <w:rPr>
          <w:rFonts w:ascii="Arial" w:hAnsi="Arial" w:cs="Arial"/>
          <w:color w:val="808080"/>
          <w:sz w:val="20"/>
          <w:szCs w:val="20"/>
        </w:rPr>
        <w:t xml:space="preserve"> </w:t>
      </w:r>
      <w:r w:rsidR="00631A44">
        <w:rPr>
          <w:rFonts w:ascii="Arial" w:hAnsi="Arial" w:cs="Arial"/>
          <w:color w:val="808080"/>
          <w:sz w:val="20"/>
          <w:szCs w:val="20"/>
        </w:rPr>
        <w:t>2026</w:t>
      </w:r>
      <w:r w:rsidR="008F28B1" w:rsidRPr="005B09D5">
        <w:rPr>
          <w:rFonts w:ascii="Arial" w:hAnsi="Arial" w:cs="Arial"/>
          <w:sz w:val="20"/>
          <w:szCs w:val="20"/>
        </w:rPr>
        <w:cr/>
      </w:r>
      <w:r w:rsidR="00AE5B7A">
        <w:rPr>
          <w:rFonts w:ascii="Arial" w:hAnsi="Arial" w:cs="Arial"/>
        </w:rPr>
        <w:pict w14:anchorId="6A11B881">
          <v:rect id="_x0000_i1025" style="width:470.2pt;height:1pt" o:hralign="center" o:hrstd="t" o:hrnoshade="t" o:hr="t" fillcolor="silver" stroked="f"/>
        </w:pict>
      </w:r>
    </w:p>
    <w:p w14:paraId="4F721579" w14:textId="77777777" w:rsidR="00786BF3" w:rsidRPr="001B66F5" w:rsidRDefault="00786BF3" w:rsidP="00786BF3">
      <w:pPr>
        <w:pStyle w:val="Heading3"/>
        <w:spacing w:before="120"/>
        <w:rPr>
          <w:i/>
          <w:color w:val="00703C"/>
          <w:sz w:val="28"/>
          <w:szCs w:val="28"/>
          <w:lang w:val="en-NZ"/>
        </w:rPr>
      </w:pPr>
      <w:r w:rsidRPr="001B66F5">
        <w:rPr>
          <w:i/>
          <w:color w:val="00703C"/>
          <w:sz w:val="28"/>
          <w:szCs w:val="28"/>
          <w:lang w:val="en-NZ"/>
        </w:rPr>
        <w:t>About FMG</w:t>
      </w:r>
    </w:p>
    <w:p w14:paraId="588D031B" w14:textId="77777777" w:rsidR="00A9508A" w:rsidRPr="000B2522" w:rsidRDefault="00A9508A" w:rsidP="00A9508A">
      <w:pPr>
        <w:spacing w:before="120" w:after="120"/>
        <w:jc w:val="both"/>
        <w:rPr>
          <w:rFonts w:ascii="Arial" w:eastAsia="Calibri" w:hAnsi="Arial" w:cs="Arial"/>
          <w:sz w:val="20"/>
          <w:szCs w:val="20"/>
          <w:lang w:val="en-NZ"/>
        </w:rPr>
      </w:pPr>
      <w:r w:rsidRPr="000B2522">
        <w:rPr>
          <w:rFonts w:ascii="Arial" w:hAnsi="Arial" w:cs="Arial"/>
          <w:b/>
          <w:bCs/>
          <w:i/>
          <w:iCs/>
          <w:color w:val="333333"/>
          <w:sz w:val="20"/>
          <w:szCs w:val="20"/>
          <w:lang w:val="en-NZ"/>
        </w:rPr>
        <w:t xml:space="preserve">Formed by farmers for farmers over a century ago, FMG is New Zealand’s leading rural insurer providing risk advice and insurance solutions for farmers, growers, commercial businesses, the lifestyle sector and </w:t>
      </w:r>
      <w:r>
        <w:rPr>
          <w:rFonts w:ascii="Arial" w:hAnsi="Arial" w:cs="Arial"/>
          <w:b/>
          <w:bCs/>
          <w:i/>
          <w:iCs/>
          <w:color w:val="333333"/>
          <w:sz w:val="20"/>
          <w:szCs w:val="20"/>
          <w:lang w:val="en-NZ"/>
        </w:rPr>
        <w:t xml:space="preserve">residential </w:t>
      </w:r>
      <w:r w:rsidRPr="000B2522">
        <w:rPr>
          <w:rFonts w:ascii="Arial" w:hAnsi="Arial" w:cs="Arial"/>
          <w:b/>
          <w:bCs/>
          <w:i/>
          <w:iCs/>
          <w:color w:val="333333"/>
          <w:sz w:val="20"/>
          <w:szCs w:val="20"/>
          <w:lang w:val="en-NZ"/>
        </w:rPr>
        <w:t>clients.</w:t>
      </w:r>
    </w:p>
    <w:p w14:paraId="34BD1886" w14:textId="77777777" w:rsidR="00A9508A" w:rsidRPr="000B2522" w:rsidRDefault="00A9508A" w:rsidP="00A9508A">
      <w:pPr>
        <w:spacing w:before="120" w:after="120"/>
        <w:jc w:val="both"/>
        <w:rPr>
          <w:rFonts w:ascii="Arial" w:hAnsi="Arial" w:cs="Arial"/>
          <w:sz w:val="20"/>
          <w:szCs w:val="20"/>
          <w:lang w:val="en-NZ"/>
        </w:rPr>
      </w:pPr>
      <w:r>
        <w:rPr>
          <w:rFonts w:ascii="Arial" w:hAnsi="Arial" w:cs="Arial"/>
          <w:b/>
          <w:bCs/>
          <w:i/>
          <w:iCs/>
          <w:color w:val="333333"/>
          <w:sz w:val="20"/>
          <w:szCs w:val="20"/>
          <w:lang w:val="en-NZ"/>
        </w:rPr>
        <w:t>FMG is</w:t>
      </w:r>
      <w:r w:rsidRPr="000B2522">
        <w:rPr>
          <w:rFonts w:ascii="Arial" w:hAnsi="Arial" w:cs="Arial"/>
          <w:b/>
          <w:bCs/>
          <w:i/>
          <w:iCs/>
          <w:color w:val="333333"/>
          <w:sz w:val="20"/>
          <w:szCs w:val="20"/>
          <w:lang w:val="en-NZ"/>
        </w:rPr>
        <w:t xml:space="preserve"> proudly 100% New Zealand owned and operated, and our focus is on helping our clients to achieve their goals.  As a mutual organisation, </w:t>
      </w:r>
      <w:r>
        <w:rPr>
          <w:rFonts w:ascii="Arial" w:hAnsi="Arial" w:cs="Arial"/>
          <w:b/>
          <w:bCs/>
          <w:i/>
          <w:iCs/>
          <w:color w:val="333333"/>
          <w:sz w:val="20"/>
          <w:szCs w:val="20"/>
          <w:lang w:val="en-NZ"/>
        </w:rPr>
        <w:t xml:space="preserve">FMG is </w:t>
      </w:r>
      <w:r w:rsidRPr="000B2522">
        <w:rPr>
          <w:rFonts w:ascii="Arial" w:hAnsi="Arial" w:cs="Arial"/>
          <w:b/>
          <w:bCs/>
          <w:i/>
          <w:iCs/>
          <w:color w:val="333333"/>
          <w:sz w:val="20"/>
          <w:szCs w:val="20"/>
          <w:lang w:val="en-NZ"/>
        </w:rPr>
        <w:t xml:space="preserve">all about giving rural New Zealanders a better deal, and part of this involves reinvesting all profits back into the business to keep premiums low and ensure the future sustainability of the </w:t>
      </w:r>
      <w:r>
        <w:rPr>
          <w:rFonts w:ascii="Arial" w:hAnsi="Arial" w:cs="Arial"/>
          <w:b/>
          <w:bCs/>
          <w:i/>
          <w:iCs/>
          <w:color w:val="333333"/>
          <w:sz w:val="20"/>
          <w:szCs w:val="20"/>
          <w:lang w:val="en-NZ"/>
        </w:rPr>
        <w:t>Mutual.</w:t>
      </w:r>
    </w:p>
    <w:p w14:paraId="199F7E0A" w14:textId="77777777" w:rsidR="00786BF3" w:rsidRPr="001B66F5" w:rsidRDefault="00AE5B7A" w:rsidP="00786BF3">
      <w:pPr>
        <w:pStyle w:val="Heading3"/>
        <w:spacing w:before="120"/>
        <w:rPr>
          <w:sz w:val="24"/>
          <w:szCs w:val="24"/>
          <w:lang w:val="en-NZ"/>
        </w:rPr>
      </w:pPr>
      <w:r>
        <w:rPr>
          <w:sz w:val="22"/>
          <w:szCs w:val="22"/>
          <w:lang w:val="en-NZ"/>
        </w:rPr>
        <w:pict w14:anchorId="7B5013EE">
          <v:rect id="_x0000_i1026" style="width:470.2pt;height:1pt" o:hralign="center" o:hrstd="t" o:hrnoshade="t" o:hr="t" fillcolor="silver" stroked="f">
            <v:imagedata r:id="rId12" o:title=""/>
          </v:rect>
        </w:pict>
      </w:r>
    </w:p>
    <w:p w14:paraId="16B2F3B7" w14:textId="77777777" w:rsidR="00786BF3" w:rsidRPr="001B66F5" w:rsidRDefault="00786BF3" w:rsidP="00786BF3">
      <w:pPr>
        <w:pStyle w:val="Heading3"/>
        <w:spacing w:before="120"/>
        <w:rPr>
          <w:i/>
          <w:iCs/>
          <w:color w:val="00703C"/>
          <w:sz w:val="28"/>
          <w:szCs w:val="28"/>
          <w:lang w:val="en-NZ"/>
        </w:rPr>
      </w:pPr>
      <w:r w:rsidRPr="001B66F5">
        <w:rPr>
          <w:i/>
          <w:iCs/>
          <w:color w:val="00703C"/>
          <w:sz w:val="28"/>
          <w:szCs w:val="28"/>
          <w:lang w:val="en-NZ"/>
        </w:rPr>
        <w:t>FMG’s Values</w:t>
      </w:r>
    </w:p>
    <w:p w14:paraId="18D4B34B" w14:textId="77777777" w:rsidR="00203910" w:rsidRPr="000B2522" w:rsidRDefault="00203910" w:rsidP="00203910">
      <w:pPr>
        <w:spacing w:before="120" w:after="120"/>
        <w:jc w:val="both"/>
        <w:rPr>
          <w:rFonts w:ascii="Arial" w:eastAsia="Calibri" w:hAnsi="Arial" w:cs="Arial"/>
          <w:sz w:val="20"/>
          <w:szCs w:val="20"/>
          <w:lang w:val="en-NZ"/>
        </w:rPr>
      </w:pPr>
      <w:r w:rsidRPr="000B2522">
        <w:rPr>
          <w:rFonts w:ascii="Arial" w:hAnsi="Arial" w:cs="Arial"/>
          <w:color w:val="000000"/>
          <w:sz w:val="20"/>
          <w:szCs w:val="20"/>
          <w:lang w:val="en-NZ"/>
        </w:rPr>
        <w:t>FMG</w:t>
      </w:r>
      <w:r>
        <w:rPr>
          <w:rFonts w:ascii="Arial" w:hAnsi="Arial" w:cs="Arial"/>
          <w:color w:val="000000"/>
          <w:sz w:val="20"/>
          <w:szCs w:val="20"/>
          <w:lang w:val="en-NZ"/>
        </w:rPr>
        <w:t>’s</w:t>
      </w:r>
      <w:r w:rsidRPr="000B2522">
        <w:rPr>
          <w:rFonts w:ascii="Arial" w:hAnsi="Arial" w:cs="Arial"/>
          <w:color w:val="000000"/>
          <w:sz w:val="20"/>
          <w:szCs w:val="20"/>
          <w:lang w:val="en-NZ"/>
        </w:rPr>
        <w:t xml:space="preserve"> brand represents promises about what clients can expect from </w:t>
      </w:r>
      <w:r>
        <w:rPr>
          <w:rFonts w:ascii="Arial" w:hAnsi="Arial" w:cs="Arial"/>
          <w:color w:val="000000"/>
          <w:sz w:val="20"/>
          <w:szCs w:val="20"/>
          <w:lang w:val="en-NZ"/>
        </w:rPr>
        <w:t>the Mutual</w:t>
      </w:r>
      <w:r w:rsidRPr="000B2522">
        <w:rPr>
          <w:rFonts w:ascii="Arial" w:hAnsi="Arial" w:cs="Arial"/>
          <w:color w:val="000000"/>
          <w:sz w:val="20"/>
          <w:szCs w:val="20"/>
          <w:lang w:val="en-NZ"/>
        </w:rPr>
        <w:t xml:space="preserve"> and each </w:t>
      </w:r>
      <w:r>
        <w:rPr>
          <w:rFonts w:ascii="Arial" w:hAnsi="Arial" w:cs="Arial"/>
          <w:color w:val="000000"/>
          <w:sz w:val="20"/>
          <w:szCs w:val="20"/>
          <w:lang w:val="en-NZ"/>
        </w:rPr>
        <w:t>FMG employee</w:t>
      </w:r>
      <w:r w:rsidRPr="000B2522">
        <w:rPr>
          <w:rFonts w:ascii="Arial" w:hAnsi="Arial" w:cs="Arial"/>
          <w:color w:val="000000"/>
          <w:sz w:val="20"/>
          <w:szCs w:val="20"/>
          <w:lang w:val="en-NZ"/>
        </w:rPr>
        <w:t xml:space="preserve"> </w:t>
      </w:r>
      <w:r>
        <w:rPr>
          <w:rFonts w:ascii="Arial" w:hAnsi="Arial" w:cs="Arial"/>
          <w:color w:val="000000"/>
          <w:sz w:val="20"/>
          <w:szCs w:val="20"/>
          <w:lang w:val="en-NZ"/>
        </w:rPr>
        <w:t xml:space="preserve">across our One Team </w:t>
      </w:r>
      <w:r w:rsidRPr="000B2522">
        <w:rPr>
          <w:rFonts w:ascii="Arial" w:hAnsi="Arial" w:cs="Arial"/>
          <w:color w:val="000000"/>
          <w:sz w:val="20"/>
          <w:szCs w:val="20"/>
          <w:lang w:val="en-NZ"/>
        </w:rPr>
        <w:t xml:space="preserve">is responsible for delivering on these promises.  Living </w:t>
      </w:r>
      <w:r>
        <w:rPr>
          <w:rFonts w:ascii="Arial" w:hAnsi="Arial" w:cs="Arial"/>
          <w:color w:val="000000"/>
          <w:sz w:val="20"/>
          <w:szCs w:val="20"/>
          <w:lang w:val="en-NZ"/>
        </w:rPr>
        <w:t>FMG’s</w:t>
      </w:r>
      <w:r w:rsidRPr="000B2522">
        <w:rPr>
          <w:rFonts w:ascii="Arial" w:hAnsi="Arial" w:cs="Arial"/>
          <w:color w:val="000000"/>
          <w:sz w:val="20"/>
          <w:szCs w:val="20"/>
          <w:lang w:val="en-NZ"/>
        </w:rPr>
        <w:t xml:space="preserve"> </w:t>
      </w:r>
      <w:r>
        <w:rPr>
          <w:rFonts w:ascii="Arial" w:hAnsi="Arial" w:cs="Arial"/>
          <w:color w:val="000000"/>
          <w:sz w:val="20"/>
          <w:szCs w:val="20"/>
          <w:lang w:val="en-NZ"/>
        </w:rPr>
        <w:t>V</w:t>
      </w:r>
      <w:r w:rsidRPr="000B2522">
        <w:rPr>
          <w:rFonts w:ascii="Arial" w:hAnsi="Arial" w:cs="Arial"/>
          <w:color w:val="000000"/>
          <w:sz w:val="20"/>
          <w:szCs w:val="20"/>
          <w:lang w:val="en-NZ"/>
        </w:rPr>
        <w:t xml:space="preserve">alues means we </w:t>
      </w:r>
      <w:r>
        <w:rPr>
          <w:rFonts w:ascii="Arial" w:hAnsi="Arial" w:cs="Arial"/>
          <w:color w:val="000000"/>
          <w:sz w:val="20"/>
          <w:szCs w:val="20"/>
          <w:lang w:val="en-NZ"/>
        </w:rPr>
        <w:t xml:space="preserve">all </w:t>
      </w:r>
      <w:r w:rsidRPr="000B2522">
        <w:rPr>
          <w:rFonts w:ascii="Arial" w:hAnsi="Arial" w:cs="Arial"/>
          <w:color w:val="000000"/>
          <w:sz w:val="20"/>
          <w:szCs w:val="20"/>
          <w:lang w:val="en-NZ"/>
        </w:rPr>
        <w:t>deliver the best brand experience for our clients. </w:t>
      </w:r>
      <w:r>
        <w:rPr>
          <w:rFonts w:ascii="Arial" w:hAnsi="Arial" w:cs="Arial"/>
          <w:color w:val="000000"/>
          <w:sz w:val="20"/>
          <w:szCs w:val="20"/>
          <w:lang w:val="en-NZ"/>
        </w:rPr>
        <w:t>FMG’s</w:t>
      </w:r>
      <w:r w:rsidRPr="000B2522">
        <w:rPr>
          <w:rFonts w:ascii="Arial" w:hAnsi="Arial" w:cs="Arial"/>
          <w:color w:val="000000"/>
          <w:sz w:val="20"/>
          <w:szCs w:val="20"/>
          <w:lang w:val="en-NZ"/>
        </w:rPr>
        <w:t xml:space="preserve"> </w:t>
      </w:r>
      <w:r>
        <w:rPr>
          <w:rFonts w:ascii="Arial" w:hAnsi="Arial" w:cs="Arial"/>
          <w:color w:val="000000"/>
          <w:sz w:val="20"/>
          <w:szCs w:val="20"/>
          <w:lang w:val="en-NZ"/>
        </w:rPr>
        <w:t>V</w:t>
      </w:r>
      <w:r w:rsidRPr="000B2522">
        <w:rPr>
          <w:rFonts w:ascii="Arial" w:hAnsi="Arial" w:cs="Arial"/>
          <w:color w:val="000000"/>
          <w:sz w:val="20"/>
          <w:szCs w:val="20"/>
          <w:lang w:val="en-NZ"/>
        </w:rPr>
        <w:t>alues are:</w:t>
      </w:r>
    </w:p>
    <w:tbl>
      <w:tblPr>
        <w:tblW w:w="0" w:type="auto"/>
        <w:tblCellMar>
          <w:left w:w="0" w:type="dxa"/>
          <w:right w:w="0" w:type="dxa"/>
        </w:tblCellMar>
        <w:tblLook w:val="04A0" w:firstRow="1" w:lastRow="0" w:firstColumn="1" w:lastColumn="0" w:noHBand="0" w:noVBand="1"/>
      </w:tblPr>
      <w:tblGrid>
        <w:gridCol w:w="4219"/>
        <w:gridCol w:w="5401"/>
      </w:tblGrid>
      <w:tr w:rsidR="00203910" w:rsidRPr="000B2522" w14:paraId="49F302B5" w14:textId="77777777" w:rsidTr="007E1FE6">
        <w:tc>
          <w:tcPr>
            <w:tcW w:w="4219" w:type="dxa"/>
            <w:tcMar>
              <w:top w:w="0" w:type="dxa"/>
              <w:left w:w="108" w:type="dxa"/>
              <w:bottom w:w="0" w:type="dxa"/>
              <w:right w:w="108" w:type="dxa"/>
            </w:tcMar>
            <w:hideMark/>
          </w:tcPr>
          <w:p w14:paraId="32EEF8B2" w14:textId="77777777" w:rsidR="00203910" w:rsidRPr="000B2522" w:rsidRDefault="00203910" w:rsidP="00203910">
            <w:pPr>
              <w:numPr>
                <w:ilvl w:val="0"/>
                <w:numId w:val="1"/>
              </w:numPr>
              <w:tabs>
                <w:tab w:val="clear" w:pos="720"/>
                <w:tab w:val="num" w:pos="360"/>
              </w:tabs>
              <w:spacing w:before="120" w:after="120"/>
              <w:ind w:left="360"/>
              <w:rPr>
                <w:rFonts w:ascii="Arial" w:hAnsi="Arial" w:cs="Arial"/>
                <w:color w:val="333333"/>
                <w:sz w:val="20"/>
                <w:szCs w:val="20"/>
                <w:lang w:val="en-NZ"/>
              </w:rPr>
            </w:pPr>
            <w:r w:rsidRPr="00766CD9">
              <w:rPr>
                <w:rFonts w:ascii="Arial" w:hAnsi="Arial" w:cs="Arial"/>
                <w:b/>
                <w:bCs/>
                <w:color w:val="323130"/>
                <w:sz w:val="20"/>
                <w:szCs w:val="20"/>
                <w:shd w:val="clear" w:color="auto" w:fill="FFFFFF"/>
                <w:lang w:val="en-NZ"/>
              </w:rPr>
              <w:t>Do what's right</w:t>
            </w:r>
            <w:r w:rsidRPr="000B2522">
              <w:rPr>
                <w:rFonts w:ascii="Arial" w:hAnsi="Arial" w:cs="Arial"/>
                <w:color w:val="323130"/>
                <w:sz w:val="20"/>
                <w:szCs w:val="20"/>
                <w:shd w:val="clear" w:color="auto" w:fill="FFFFFF"/>
                <w:lang w:val="en-NZ"/>
              </w:rPr>
              <w:t xml:space="preserve"> - Whāia te ara tika</w:t>
            </w:r>
          </w:p>
        </w:tc>
        <w:tc>
          <w:tcPr>
            <w:tcW w:w="5401" w:type="dxa"/>
            <w:tcMar>
              <w:top w:w="0" w:type="dxa"/>
              <w:left w:w="108" w:type="dxa"/>
              <w:bottom w:w="0" w:type="dxa"/>
              <w:right w:w="108" w:type="dxa"/>
            </w:tcMar>
            <w:hideMark/>
          </w:tcPr>
          <w:p w14:paraId="14C7A433" w14:textId="77777777" w:rsidR="00203910" w:rsidRPr="000B2522" w:rsidRDefault="00203910" w:rsidP="00203910">
            <w:pPr>
              <w:numPr>
                <w:ilvl w:val="0"/>
                <w:numId w:val="1"/>
              </w:numPr>
              <w:tabs>
                <w:tab w:val="clear" w:pos="720"/>
                <w:tab w:val="num" w:pos="360"/>
              </w:tabs>
              <w:spacing w:before="120" w:after="120"/>
              <w:ind w:left="360"/>
              <w:rPr>
                <w:rFonts w:ascii="Arial" w:hAnsi="Arial" w:cs="Arial"/>
                <w:color w:val="333333"/>
                <w:sz w:val="20"/>
                <w:szCs w:val="20"/>
                <w:lang w:val="en-NZ"/>
              </w:rPr>
            </w:pPr>
            <w:r w:rsidRPr="00766CD9">
              <w:rPr>
                <w:rFonts w:ascii="Arial" w:hAnsi="Arial" w:cs="Arial"/>
                <w:b/>
                <w:bCs/>
                <w:color w:val="323130"/>
                <w:sz w:val="20"/>
                <w:szCs w:val="20"/>
                <w:shd w:val="clear" w:color="auto" w:fill="FFFFFF"/>
                <w:lang w:val="en-NZ"/>
              </w:rPr>
              <w:t>Make it happen</w:t>
            </w:r>
            <w:r w:rsidRPr="000B2522">
              <w:rPr>
                <w:rFonts w:ascii="Arial" w:hAnsi="Arial" w:cs="Arial"/>
                <w:color w:val="323130"/>
                <w:sz w:val="20"/>
                <w:szCs w:val="20"/>
                <w:shd w:val="clear" w:color="auto" w:fill="FFFFFF"/>
                <w:lang w:val="en-NZ"/>
              </w:rPr>
              <w:t xml:space="preserve"> - Whakatutukitia</w:t>
            </w:r>
          </w:p>
        </w:tc>
      </w:tr>
      <w:tr w:rsidR="00203910" w:rsidRPr="000B2522" w14:paraId="08728D10" w14:textId="77777777" w:rsidTr="007E1FE6">
        <w:tc>
          <w:tcPr>
            <w:tcW w:w="4219" w:type="dxa"/>
            <w:tcMar>
              <w:top w:w="0" w:type="dxa"/>
              <w:left w:w="108" w:type="dxa"/>
              <w:bottom w:w="0" w:type="dxa"/>
              <w:right w:w="108" w:type="dxa"/>
            </w:tcMar>
            <w:hideMark/>
          </w:tcPr>
          <w:p w14:paraId="0ABBACDA" w14:textId="77777777" w:rsidR="00203910" w:rsidRPr="000B2522" w:rsidRDefault="00203910" w:rsidP="00203910">
            <w:pPr>
              <w:numPr>
                <w:ilvl w:val="0"/>
                <w:numId w:val="1"/>
              </w:numPr>
              <w:tabs>
                <w:tab w:val="clear" w:pos="720"/>
                <w:tab w:val="num" w:pos="360"/>
              </w:tabs>
              <w:spacing w:before="120"/>
              <w:ind w:left="360"/>
              <w:rPr>
                <w:rFonts w:ascii="Arial" w:eastAsia="Calibri" w:hAnsi="Arial" w:cs="Arial"/>
                <w:sz w:val="20"/>
                <w:szCs w:val="20"/>
                <w:lang w:val="en-NZ"/>
              </w:rPr>
            </w:pPr>
            <w:r w:rsidRPr="00766CD9">
              <w:rPr>
                <w:rFonts w:ascii="Arial" w:hAnsi="Arial" w:cs="Arial"/>
                <w:b/>
                <w:bCs/>
                <w:color w:val="323130"/>
                <w:sz w:val="20"/>
                <w:szCs w:val="20"/>
                <w:shd w:val="clear" w:color="auto" w:fill="FFFFFF"/>
                <w:lang w:val="en-NZ"/>
              </w:rPr>
              <w:t>We're in it together</w:t>
            </w:r>
            <w:r w:rsidRPr="000B2522">
              <w:rPr>
                <w:rFonts w:ascii="Arial" w:hAnsi="Arial" w:cs="Arial"/>
                <w:color w:val="323130"/>
                <w:sz w:val="20"/>
                <w:szCs w:val="20"/>
                <w:shd w:val="clear" w:color="auto" w:fill="FFFFFF"/>
                <w:lang w:val="en-NZ"/>
              </w:rPr>
              <w:t xml:space="preserve"> - Ko tātau tātau</w:t>
            </w:r>
          </w:p>
        </w:tc>
        <w:tc>
          <w:tcPr>
            <w:tcW w:w="5401" w:type="dxa"/>
            <w:tcMar>
              <w:top w:w="0" w:type="dxa"/>
              <w:left w:w="108" w:type="dxa"/>
              <w:bottom w:w="0" w:type="dxa"/>
              <w:right w:w="108" w:type="dxa"/>
            </w:tcMar>
            <w:hideMark/>
          </w:tcPr>
          <w:p w14:paraId="5CE2EB87" w14:textId="77777777" w:rsidR="00203910" w:rsidRPr="000B2522" w:rsidRDefault="00203910" w:rsidP="00203910">
            <w:pPr>
              <w:numPr>
                <w:ilvl w:val="0"/>
                <w:numId w:val="1"/>
              </w:numPr>
              <w:tabs>
                <w:tab w:val="clear" w:pos="720"/>
                <w:tab w:val="num" w:pos="360"/>
              </w:tabs>
              <w:spacing w:before="120"/>
              <w:ind w:left="360"/>
              <w:rPr>
                <w:rFonts w:ascii="Arial" w:hAnsi="Arial" w:cs="Arial"/>
                <w:sz w:val="20"/>
                <w:szCs w:val="20"/>
                <w:lang w:val="en-NZ"/>
              </w:rPr>
            </w:pPr>
            <w:r w:rsidRPr="00766CD9">
              <w:rPr>
                <w:rFonts w:ascii="Arial" w:hAnsi="Arial" w:cs="Arial"/>
                <w:b/>
                <w:bCs/>
                <w:color w:val="323130"/>
                <w:sz w:val="20"/>
                <w:szCs w:val="20"/>
                <w:shd w:val="clear" w:color="auto" w:fill="FFFFFF"/>
                <w:lang w:val="en-NZ"/>
              </w:rPr>
              <w:t>Proud of who we are</w:t>
            </w:r>
            <w:r w:rsidRPr="000B2522">
              <w:rPr>
                <w:rFonts w:ascii="Arial" w:hAnsi="Arial" w:cs="Arial"/>
                <w:color w:val="323130"/>
                <w:sz w:val="20"/>
                <w:szCs w:val="20"/>
                <w:shd w:val="clear" w:color="auto" w:fill="FFFFFF"/>
                <w:lang w:val="en-NZ"/>
              </w:rPr>
              <w:t xml:space="preserve"> - Whakahīhī i te whakapapa</w:t>
            </w:r>
          </w:p>
        </w:tc>
      </w:tr>
    </w:tbl>
    <w:p w14:paraId="5B646D97" w14:textId="77777777" w:rsidR="00786BF3" w:rsidRPr="001B66F5" w:rsidRDefault="00AE5B7A" w:rsidP="00786BF3">
      <w:pPr>
        <w:pStyle w:val="Heading3"/>
        <w:spacing w:before="120"/>
        <w:rPr>
          <w:sz w:val="24"/>
          <w:szCs w:val="24"/>
          <w:lang w:val="en-NZ"/>
        </w:rPr>
      </w:pPr>
      <w:r>
        <w:rPr>
          <w:sz w:val="24"/>
          <w:szCs w:val="24"/>
          <w:lang w:val="en-NZ"/>
        </w:rPr>
        <w:pict w14:anchorId="4A1980E1">
          <v:rect id="_x0000_i1027" style="width:470.2pt;height:1pt" o:hralign="center" o:hrstd="t" o:hrnoshade="t" o:hr="t" fillcolor="silver" stroked="f">
            <v:imagedata r:id="rId12" o:title=""/>
          </v:rect>
        </w:pict>
      </w:r>
    </w:p>
    <w:p w14:paraId="36CD151E" w14:textId="77777777" w:rsidR="00786BF3" w:rsidRPr="001B66F5" w:rsidRDefault="00786BF3" w:rsidP="00786BF3">
      <w:pPr>
        <w:pStyle w:val="Heading3"/>
        <w:spacing w:before="120"/>
        <w:rPr>
          <w:i/>
          <w:iCs/>
          <w:color w:val="00703C"/>
          <w:sz w:val="28"/>
          <w:szCs w:val="28"/>
          <w:lang w:val="en-NZ"/>
        </w:rPr>
      </w:pPr>
      <w:r w:rsidRPr="001B66F5">
        <w:rPr>
          <w:i/>
          <w:iCs/>
          <w:color w:val="00703C"/>
          <w:sz w:val="28"/>
          <w:szCs w:val="28"/>
          <w:lang w:val="en-NZ"/>
        </w:rPr>
        <w:t>Work Environment</w:t>
      </w:r>
    </w:p>
    <w:p w14:paraId="1B20D833" w14:textId="77777777" w:rsidR="0075431E" w:rsidRPr="00064402" w:rsidRDefault="0075431E" w:rsidP="0075431E">
      <w:pPr>
        <w:tabs>
          <w:tab w:val="left" w:pos="1800"/>
        </w:tabs>
        <w:spacing w:before="120" w:after="120"/>
        <w:jc w:val="both"/>
        <w:rPr>
          <w:rFonts w:ascii="Arial" w:hAnsi="Arial" w:cs="Arial"/>
          <w:sz w:val="20"/>
          <w:szCs w:val="20"/>
          <w:lang w:val="en-NZ"/>
        </w:rPr>
      </w:pPr>
      <w:r>
        <w:rPr>
          <w:rFonts w:ascii="Arial" w:hAnsi="Arial" w:cs="Arial"/>
          <w:sz w:val="20"/>
          <w:szCs w:val="20"/>
          <w:lang w:val="en-NZ"/>
        </w:rPr>
        <w:t>FMG</w:t>
      </w:r>
      <w:r w:rsidRPr="00064402">
        <w:rPr>
          <w:rFonts w:ascii="Arial" w:hAnsi="Arial" w:cs="Arial"/>
          <w:sz w:val="20"/>
          <w:szCs w:val="20"/>
          <w:lang w:val="en-NZ"/>
        </w:rPr>
        <w:t xml:space="preserve"> strive</w:t>
      </w:r>
      <w:r>
        <w:rPr>
          <w:rFonts w:ascii="Arial" w:hAnsi="Arial" w:cs="Arial"/>
          <w:sz w:val="20"/>
          <w:szCs w:val="20"/>
          <w:lang w:val="en-NZ"/>
        </w:rPr>
        <w:t>s</w:t>
      </w:r>
      <w:r w:rsidRPr="00064402">
        <w:rPr>
          <w:rFonts w:ascii="Arial" w:hAnsi="Arial" w:cs="Arial"/>
          <w:sz w:val="20"/>
          <w:szCs w:val="20"/>
          <w:lang w:val="en-NZ"/>
        </w:rPr>
        <w:t xml:space="preserve"> to provide an environment that </w:t>
      </w:r>
      <w:r w:rsidRPr="005A3027">
        <w:rPr>
          <w:rFonts w:ascii="Arial" w:hAnsi="Arial" w:cs="Arial"/>
          <w:sz w:val="20"/>
          <w:szCs w:val="20"/>
          <w:lang w:val="en-NZ"/>
        </w:rPr>
        <w:t>promotes and fosters achievement</w:t>
      </w:r>
      <w:r>
        <w:rPr>
          <w:rFonts w:ascii="Arial" w:hAnsi="Arial" w:cs="Arial"/>
          <w:sz w:val="20"/>
          <w:szCs w:val="20"/>
          <w:lang w:val="en-NZ"/>
        </w:rPr>
        <w:t xml:space="preserve">, </w:t>
      </w:r>
      <w:r w:rsidRPr="005A3027">
        <w:rPr>
          <w:rFonts w:ascii="Arial" w:hAnsi="Arial" w:cs="Arial"/>
          <w:sz w:val="20"/>
          <w:szCs w:val="20"/>
          <w:lang w:val="en-NZ"/>
        </w:rPr>
        <w:t>plac</w:t>
      </w:r>
      <w:r>
        <w:rPr>
          <w:rFonts w:ascii="Arial" w:hAnsi="Arial" w:cs="Arial"/>
          <w:sz w:val="20"/>
          <w:szCs w:val="20"/>
          <w:lang w:val="en-NZ"/>
        </w:rPr>
        <w:t>ing</w:t>
      </w:r>
      <w:r w:rsidRPr="005A3027">
        <w:rPr>
          <w:rFonts w:ascii="Arial" w:hAnsi="Arial" w:cs="Arial"/>
          <w:sz w:val="20"/>
          <w:szCs w:val="20"/>
          <w:lang w:val="en-NZ"/>
        </w:rPr>
        <w:t xml:space="preserve"> importance on career development and training to </w:t>
      </w:r>
      <w:r>
        <w:rPr>
          <w:rFonts w:ascii="Arial" w:hAnsi="Arial" w:cs="Arial"/>
          <w:sz w:val="20"/>
          <w:szCs w:val="20"/>
          <w:lang w:val="en-NZ"/>
        </w:rPr>
        <w:t>provide</w:t>
      </w:r>
      <w:r w:rsidRPr="005A3027">
        <w:rPr>
          <w:rFonts w:ascii="Arial" w:hAnsi="Arial" w:cs="Arial"/>
          <w:sz w:val="20"/>
          <w:szCs w:val="20"/>
          <w:lang w:val="en-NZ"/>
        </w:rPr>
        <w:t xml:space="preserve"> our people </w:t>
      </w:r>
      <w:r>
        <w:rPr>
          <w:rFonts w:ascii="Arial" w:hAnsi="Arial" w:cs="Arial"/>
          <w:sz w:val="20"/>
          <w:szCs w:val="20"/>
          <w:lang w:val="en-NZ"/>
        </w:rPr>
        <w:t xml:space="preserve">with </w:t>
      </w:r>
      <w:r w:rsidRPr="005A3027">
        <w:rPr>
          <w:rFonts w:ascii="Arial" w:hAnsi="Arial" w:cs="Arial"/>
          <w:sz w:val="20"/>
          <w:szCs w:val="20"/>
          <w:lang w:val="en-NZ"/>
        </w:rPr>
        <w:t>the tools they need to succeed.</w:t>
      </w:r>
    </w:p>
    <w:p w14:paraId="5612CAC2" w14:textId="77777777" w:rsidR="0075431E" w:rsidRPr="00064402" w:rsidRDefault="0075431E" w:rsidP="0075431E">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 xml:space="preserve">FMG’s Head Office is </w:t>
      </w:r>
      <w:r>
        <w:rPr>
          <w:rFonts w:ascii="Arial" w:hAnsi="Arial" w:cs="Arial"/>
          <w:sz w:val="20"/>
          <w:szCs w:val="20"/>
          <w:lang w:val="en-NZ"/>
        </w:rPr>
        <w:t xml:space="preserve">located </w:t>
      </w:r>
      <w:r w:rsidRPr="00064402">
        <w:rPr>
          <w:rFonts w:ascii="Arial" w:hAnsi="Arial" w:cs="Arial"/>
          <w:sz w:val="20"/>
          <w:szCs w:val="20"/>
          <w:lang w:val="en-NZ"/>
        </w:rPr>
        <w:t xml:space="preserve">in Wellington and accommodates FMG’s Executive Leadership Team (ELT), </w:t>
      </w:r>
      <w:r>
        <w:rPr>
          <w:rFonts w:ascii="Arial" w:hAnsi="Arial" w:cs="Arial"/>
          <w:sz w:val="20"/>
          <w:szCs w:val="20"/>
          <w:lang w:val="en-NZ"/>
        </w:rPr>
        <w:t>Sales, Advice and Service, Claims, Marketing and</w:t>
      </w:r>
      <w:r w:rsidRPr="00064402">
        <w:rPr>
          <w:rFonts w:ascii="Arial" w:hAnsi="Arial" w:cs="Arial"/>
          <w:sz w:val="20"/>
          <w:szCs w:val="20"/>
          <w:lang w:val="en-NZ"/>
        </w:rPr>
        <w:t xml:space="preserve"> Propositions</w:t>
      </w:r>
      <w:r>
        <w:rPr>
          <w:rFonts w:ascii="Arial" w:hAnsi="Arial" w:cs="Arial"/>
          <w:sz w:val="20"/>
          <w:szCs w:val="20"/>
          <w:lang w:val="en-NZ"/>
        </w:rPr>
        <w:t xml:space="preserve">, </w:t>
      </w:r>
      <w:r w:rsidRPr="00064402">
        <w:rPr>
          <w:rFonts w:ascii="Arial" w:hAnsi="Arial" w:cs="Arial"/>
          <w:sz w:val="20"/>
          <w:szCs w:val="20"/>
          <w:lang w:val="en-NZ"/>
        </w:rPr>
        <w:t xml:space="preserve">People </w:t>
      </w:r>
      <w:r>
        <w:rPr>
          <w:rFonts w:ascii="Arial" w:hAnsi="Arial" w:cs="Arial"/>
          <w:sz w:val="20"/>
          <w:szCs w:val="20"/>
          <w:lang w:val="en-NZ"/>
        </w:rPr>
        <w:t>and</w:t>
      </w:r>
      <w:r w:rsidRPr="00064402">
        <w:rPr>
          <w:rFonts w:ascii="Arial" w:hAnsi="Arial" w:cs="Arial"/>
          <w:sz w:val="20"/>
          <w:szCs w:val="20"/>
          <w:lang w:val="en-NZ"/>
        </w:rPr>
        <w:t xml:space="preserve"> Culture</w:t>
      </w:r>
      <w:r>
        <w:rPr>
          <w:rFonts w:ascii="Arial" w:hAnsi="Arial" w:cs="Arial"/>
          <w:sz w:val="20"/>
          <w:szCs w:val="20"/>
          <w:lang w:val="en-NZ"/>
        </w:rPr>
        <w:t>,</w:t>
      </w:r>
      <w:r w:rsidRPr="00064402">
        <w:rPr>
          <w:rFonts w:ascii="Arial" w:hAnsi="Arial" w:cs="Arial"/>
          <w:sz w:val="20"/>
          <w:szCs w:val="20"/>
          <w:lang w:val="en-NZ"/>
        </w:rPr>
        <w:t xml:space="preserve"> Financ</w:t>
      </w:r>
      <w:r>
        <w:rPr>
          <w:rFonts w:ascii="Arial" w:hAnsi="Arial" w:cs="Arial"/>
          <w:sz w:val="20"/>
          <w:szCs w:val="20"/>
          <w:lang w:val="en-NZ"/>
        </w:rPr>
        <w:t>e and Investments, Insurance Solutions,</w:t>
      </w:r>
      <w:r w:rsidRPr="00064402">
        <w:rPr>
          <w:rFonts w:ascii="Arial" w:hAnsi="Arial" w:cs="Arial"/>
          <w:sz w:val="20"/>
          <w:szCs w:val="20"/>
          <w:lang w:val="en-NZ"/>
        </w:rPr>
        <w:t xml:space="preserve"> </w:t>
      </w:r>
      <w:r>
        <w:rPr>
          <w:rFonts w:ascii="Arial" w:hAnsi="Arial" w:cs="Arial"/>
          <w:sz w:val="20"/>
          <w:szCs w:val="20"/>
          <w:lang w:val="en-NZ"/>
        </w:rPr>
        <w:t>Digital and Data, Risk</w:t>
      </w:r>
      <w:r w:rsidRPr="00064402">
        <w:rPr>
          <w:rFonts w:ascii="Arial" w:hAnsi="Arial" w:cs="Arial"/>
          <w:sz w:val="20"/>
          <w:szCs w:val="20"/>
          <w:lang w:val="en-NZ"/>
        </w:rPr>
        <w:t xml:space="preserve"> </w:t>
      </w:r>
      <w:r>
        <w:rPr>
          <w:rFonts w:ascii="Arial" w:hAnsi="Arial" w:cs="Arial"/>
          <w:sz w:val="20"/>
          <w:szCs w:val="20"/>
          <w:lang w:val="en-NZ"/>
        </w:rPr>
        <w:t xml:space="preserve">and Compliance </w:t>
      </w:r>
      <w:r w:rsidRPr="00064402">
        <w:rPr>
          <w:rFonts w:ascii="Arial" w:hAnsi="Arial" w:cs="Arial"/>
          <w:sz w:val="20"/>
          <w:szCs w:val="20"/>
          <w:lang w:val="en-NZ"/>
        </w:rPr>
        <w:t xml:space="preserve">and </w:t>
      </w:r>
      <w:r>
        <w:rPr>
          <w:rFonts w:ascii="Arial" w:hAnsi="Arial" w:cs="Arial"/>
          <w:sz w:val="20"/>
          <w:szCs w:val="20"/>
          <w:lang w:val="en-NZ"/>
        </w:rPr>
        <w:t xml:space="preserve">Strategy and Enablement teams. </w:t>
      </w:r>
    </w:p>
    <w:p w14:paraId="29F95117" w14:textId="77777777" w:rsidR="0075431E" w:rsidRPr="00064402" w:rsidRDefault="0075431E" w:rsidP="0075431E">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 xml:space="preserve">FMG’s largest regional office is in </w:t>
      </w:r>
      <w:r>
        <w:rPr>
          <w:rFonts w:ascii="Arial" w:hAnsi="Arial" w:cs="Arial"/>
          <w:sz w:val="20"/>
          <w:szCs w:val="20"/>
          <w:lang w:val="en-NZ"/>
        </w:rPr>
        <w:t xml:space="preserve">located in </w:t>
      </w:r>
      <w:r w:rsidRPr="00064402">
        <w:rPr>
          <w:rFonts w:ascii="Arial" w:hAnsi="Arial" w:cs="Arial"/>
          <w:sz w:val="20"/>
          <w:szCs w:val="20"/>
          <w:lang w:val="en-NZ"/>
        </w:rPr>
        <w:t xml:space="preserve">Palmerston North accommodating </w:t>
      </w:r>
      <w:r>
        <w:rPr>
          <w:rFonts w:ascii="Arial" w:hAnsi="Arial" w:cs="Arial"/>
          <w:sz w:val="20"/>
          <w:szCs w:val="20"/>
          <w:lang w:val="en-NZ"/>
        </w:rPr>
        <w:t>FMG’s</w:t>
      </w:r>
      <w:r w:rsidRPr="00064402">
        <w:rPr>
          <w:rFonts w:ascii="Arial" w:hAnsi="Arial" w:cs="Arial"/>
          <w:sz w:val="20"/>
          <w:szCs w:val="20"/>
          <w:lang w:val="en-NZ"/>
        </w:rPr>
        <w:t xml:space="preserve"> National Sales </w:t>
      </w:r>
      <w:r>
        <w:rPr>
          <w:rFonts w:ascii="Arial" w:hAnsi="Arial" w:cs="Arial"/>
          <w:sz w:val="20"/>
          <w:szCs w:val="20"/>
          <w:lang w:val="en-NZ"/>
        </w:rPr>
        <w:t>and</w:t>
      </w:r>
      <w:r w:rsidRPr="00064402">
        <w:rPr>
          <w:rFonts w:ascii="Arial" w:hAnsi="Arial" w:cs="Arial"/>
          <w:sz w:val="20"/>
          <w:szCs w:val="20"/>
          <w:lang w:val="en-NZ"/>
        </w:rPr>
        <w:t xml:space="preserve"> </w:t>
      </w:r>
      <w:r>
        <w:rPr>
          <w:rFonts w:ascii="Arial" w:hAnsi="Arial" w:cs="Arial"/>
          <w:sz w:val="20"/>
          <w:szCs w:val="20"/>
          <w:lang w:val="en-NZ"/>
        </w:rPr>
        <w:t xml:space="preserve">Advice </w:t>
      </w:r>
      <w:r w:rsidRPr="00064402">
        <w:rPr>
          <w:rFonts w:ascii="Arial" w:hAnsi="Arial" w:cs="Arial"/>
          <w:sz w:val="20"/>
          <w:szCs w:val="20"/>
          <w:lang w:val="en-NZ"/>
        </w:rPr>
        <w:t>Centre,</w:t>
      </w:r>
      <w:r>
        <w:rPr>
          <w:rFonts w:ascii="Arial" w:hAnsi="Arial" w:cs="Arial"/>
          <w:sz w:val="20"/>
          <w:szCs w:val="20"/>
          <w:lang w:val="en-NZ"/>
        </w:rPr>
        <w:t xml:space="preserve"> People and Culture</w:t>
      </w:r>
      <w:r w:rsidRPr="00064402">
        <w:rPr>
          <w:rFonts w:ascii="Arial" w:hAnsi="Arial" w:cs="Arial"/>
          <w:sz w:val="20"/>
          <w:szCs w:val="20"/>
          <w:lang w:val="en-NZ"/>
        </w:rPr>
        <w:t xml:space="preserve">, </w:t>
      </w:r>
      <w:r>
        <w:rPr>
          <w:rFonts w:ascii="Arial" w:hAnsi="Arial" w:cs="Arial"/>
          <w:sz w:val="20"/>
          <w:szCs w:val="20"/>
          <w:lang w:val="en-NZ"/>
        </w:rPr>
        <w:t>Digital and Data</w:t>
      </w:r>
      <w:r w:rsidRPr="00064402">
        <w:rPr>
          <w:rFonts w:ascii="Arial" w:hAnsi="Arial" w:cs="Arial"/>
          <w:sz w:val="20"/>
          <w:szCs w:val="20"/>
          <w:lang w:val="en-NZ"/>
        </w:rPr>
        <w:t>, Claims, Operations and Payments functions.  In addition to offices in Wellington, Palmerston North and Christchurch</w:t>
      </w:r>
      <w:r>
        <w:rPr>
          <w:rFonts w:ascii="Arial" w:hAnsi="Arial" w:cs="Arial"/>
          <w:sz w:val="20"/>
          <w:szCs w:val="20"/>
          <w:lang w:val="en-NZ"/>
        </w:rPr>
        <w:t>,</w:t>
      </w:r>
      <w:r w:rsidRPr="00064402">
        <w:rPr>
          <w:rFonts w:ascii="Arial" w:hAnsi="Arial" w:cs="Arial"/>
          <w:sz w:val="20"/>
          <w:szCs w:val="20"/>
          <w:lang w:val="en-NZ"/>
        </w:rPr>
        <w:t xml:space="preserve"> FMG has </w:t>
      </w:r>
      <w:r>
        <w:rPr>
          <w:rFonts w:ascii="Arial" w:hAnsi="Arial" w:cs="Arial"/>
          <w:sz w:val="20"/>
          <w:szCs w:val="20"/>
          <w:lang w:val="en-NZ"/>
        </w:rPr>
        <w:t xml:space="preserve">regional </w:t>
      </w:r>
      <w:r w:rsidRPr="00064402">
        <w:rPr>
          <w:rFonts w:ascii="Arial" w:hAnsi="Arial" w:cs="Arial"/>
          <w:sz w:val="20"/>
          <w:szCs w:val="20"/>
          <w:lang w:val="en-NZ"/>
        </w:rPr>
        <w:t>offices in 30</w:t>
      </w:r>
      <w:r>
        <w:rPr>
          <w:rFonts w:ascii="Arial" w:hAnsi="Arial" w:cs="Arial"/>
          <w:sz w:val="20"/>
          <w:szCs w:val="20"/>
          <w:lang w:val="en-NZ"/>
        </w:rPr>
        <w:t xml:space="preserve"> </w:t>
      </w:r>
      <w:r w:rsidRPr="00064402">
        <w:rPr>
          <w:rFonts w:ascii="Arial" w:hAnsi="Arial" w:cs="Arial"/>
          <w:sz w:val="20"/>
          <w:szCs w:val="20"/>
          <w:lang w:val="en-NZ"/>
        </w:rPr>
        <w:t xml:space="preserve">locations throughout </w:t>
      </w:r>
      <w:r>
        <w:rPr>
          <w:rFonts w:ascii="Arial" w:hAnsi="Arial" w:cs="Arial"/>
          <w:sz w:val="20"/>
          <w:szCs w:val="20"/>
          <w:lang w:val="en-NZ"/>
        </w:rPr>
        <w:t xml:space="preserve">provincial </w:t>
      </w:r>
      <w:r w:rsidRPr="00064402">
        <w:rPr>
          <w:rFonts w:ascii="Arial" w:hAnsi="Arial" w:cs="Arial"/>
          <w:sz w:val="20"/>
          <w:szCs w:val="20"/>
          <w:lang w:val="en-NZ"/>
        </w:rPr>
        <w:t>New Zealand</w:t>
      </w:r>
      <w:r>
        <w:rPr>
          <w:rFonts w:ascii="Arial" w:hAnsi="Arial" w:cs="Arial"/>
          <w:sz w:val="20"/>
          <w:szCs w:val="20"/>
          <w:lang w:val="en-NZ"/>
        </w:rPr>
        <w:t xml:space="preserve"> Aotearoa</w:t>
      </w:r>
      <w:r w:rsidRPr="00064402">
        <w:rPr>
          <w:rFonts w:ascii="Arial" w:hAnsi="Arial" w:cs="Arial"/>
          <w:sz w:val="20"/>
          <w:szCs w:val="20"/>
          <w:lang w:val="en-NZ"/>
        </w:rPr>
        <w:t xml:space="preserve">. </w:t>
      </w:r>
    </w:p>
    <w:p w14:paraId="50AF9228" w14:textId="77777777" w:rsidR="005117DD" w:rsidRDefault="00AE5B7A" w:rsidP="00BA2F02">
      <w:pPr>
        <w:tabs>
          <w:tab w:val="left" w:pos="1800"/>
        </w:tabs>
        <w:spacing w:before="120" w:after="120"/>
        <w:jc w:val="both"/>
        <w:rPr>
          <w:rFonts w:ascii="Arial" w:hAnsi="Arial" w:cs="Arial"/>
          <w:sz w:val="20"/>
          <w:szCs w:val="20"/>
        </w:rPr>
      </w:pPr>
      <w:r>
        <w:pict w14:anchorId="7C016F81">
          <v:rect id="_x0000_i1028" style="width:470.2pt;height:1pt" o:hralign="center" o:hrstd="t" o:hrnoshade="t" o:hr="t" fillcolor="silver" stroked="f"/>
        </w:pict>
      </w:r>
    </w:p>
    <w:p w14:paraId="7A86DEEC" w14:textId="77777777" w:rsidR="005117DD" w:rsidRDefault="005117DD" w:rsidP="00BA2F02">
      <w:pPr>
        <w:tabs>
          <w:tab w:val="left" w:pos="1800"/>
        </w:tabs>
        <w:spacing w:before="120" w:after="120"/>
        <w:jc w:val="both"/>
        <w:rPr>
          <w:rFonts w:ascii="Arial" w:hAnsi="Arial" w:cs="Arial"/>
          <w:sz w:val="20"/>
          <w:szCs w:val="20"/>
        </w:rPr>
      </w:pPr>
    </w:p>
    <w:p w14:paraId="2322EE22" w14:textId="77777777" w:rsidR="00C1744E" w:rsidRPr="005B09D5" w:rsidRDefault="00C1744E" w:rsidP="00C1744E">
      <w:pPr>
        <w:pStyle w:val="Heading3"/>
        <w:spacing w:before="120"/>
        <w:rPr>
          <w:i/>
          <w:iCs/>
          <w:color w:val="00703C"/>
          <w:sz w:val="28"/>
          <w:szCs w:val="28"/>
        </w:rPr>
      </w:pPr>
      <w:r w:rsidRPr="005B09D5">
        <w:rPr>
          <w:i/>
          <w:iCs/>
          <w:color w:val="00703C"/>
          <w:sz w:val="28"/>
          <w:szCs w:val="28"/>
        </w:rPr>
        <w:lastRenderedPageBreak/>
        <w:t>Purpose</w:t>
      </w:r>
      <w:r w:rsidR="00EE20C9" w:rsidRPr="005B09D5">
        <w:rPr>
          <w:i/>
          <w:iCs/>
          <w:color w:val="00703C"/>
          <w:sz w:val="28"/>
          <w:szCs w:val="28"/>
        </w:rPr>
        <w:t xml:space="preserve"> of the role</w:t>
      </w:r>
    </w:p>
    <w:p w14:paraId="2585D203" w14:textId="77777777" w:rsidR="008747F9" w:rsidRPr="008747F9" w:rsidRDefault="008747F9" w:rsidP="008747F9">
      <w:pPr>
        <w:tabs>
          <w:tab w:val="left" w:pos="1800"/>
        </w:tabs>
        <w:spacing w:before="120" w:after="120"/>
        <w:jc w:val="both"/>
        <w:rPr>
          <w:rFonts w:ascii="Arial" w:hAnsi="Arial" w:cs="Arial"/>
          <w:sz w:val="20"/>
          <w:szCs w:val="20"/>
          <w:lang w:val="en-NZ"/>
        </w:rPr>
      </w:pPr>
      <w:r w:rsidRPr="008747F9">
        <w:rPr>
          <w:rFonts w:ascii="Arial" w:hAnsi="Arial" w:cs="Arial"/>
          <w:sz w:val="20"/>
          <w:szCs w:val="20"/>
          <w:lang w:val="en-NZ"/>
        </w:rPr>
        <w:t>The Data &amp; Information Governance Manager is responsible for leading FMG’s enterprise approach to data governance, information management, knowledge management, information protection, and privacy, ensuring that data, information, and knowledge assets are trusted, secure, and fit for purpose.</w:t>
      </w:r>
    </w:p>
    <w:p w14:paraId="19D67151" w14:textId="77777777" w:rsidR="008747F9" w:rsidRPr="008747F9" w:rsidRDefault="008747F9" w:rsidP="008747F9">
      <w:pPr>
        <w:tabs>
          <w:tab w:val="left" w:pos="1800"/>
        </w:tabs>
        <w:spacing w:before="120" w:after="120"/>
        <w:jc w:val="both"/>
        <w:rPr>
          <w:rFonts w:ascii="Arial" w:hAnsi="Arial" w:cs="Arial"/>
          <w:sz w:val="20"/>
          <w:szCs w:val="20"/>
          <w:lang w:val="en-NZ"/>
        </w:rPr>
      </w:pPr>
      <w:r w:rsidRPr="008747F9">
        <w:rPr>
          <w:rFonts w:ascii="Arial" w:hAnsi="Arial" w:cs="Arial"/>
          <w:sz w:val="20"/>
          <w:szCs w:val="20"/>
          <w:lang w:val="en-NZ"/>
        </w:rPr>
        <w:t>Reporting to the Head of Data, Information &amp; Analytics, this role translates FMG’s Data, Information and Analytics (DIA) Strategy into practical governance frameworks, policies, standards, and ways of working that support operational effectiveness, regulatory compliance, and informed decision</w:t>
      </w:r>
      <w:r w:rsidRPr="008747F9">
        <w:rPr>
          <w:rFonts w:ascii="Arial" w:hAnsi="Arial" w:cs="Arial"/>
          <w:sz w:val="20"/>
          <w:szCs w:val="20"/>
          <w:lang w:val="en-NZ"/>
        </w:rPr>
        <w:noBreakHyphen/>
        <w:t>making — including the responsible use of advanced analytics and AI</w:t>
      </w:r>
      <w:r w:rsidRPr="008747F9">
        <w:rPr>
          <w:rFonts w:ascii="Arial" w:hAnsi="Arial" w:cs="Arial"/>
          <w:sz w:val="20"/>
          <w:szCs w:val="20"/>
          <w:lang w:val="en-NZ"/>
        </w:rPr>
        <w:noBreakHyphen/>
        <w:t>enabled capabilities.</w:t>
      </w:r>
    </w:p>
    <w:p w14:paraId="52C5FB0E" w14:textId="77777777" w:rsidR="008747F9" w:rsidRPr="008747F9" w:rsidRDefault="008747F9" w:rsidP="008747F9">
      <w:pPr>
        <w:tabs>
          <w:tab w:val="left" w:pos="1800"/>
        </w:tabs>
        <w:spacing w:before="120" w:after="120"/>
        <w:jc w:val="both"/>
        <w:rPr>
          <w:rFonts w:ascii="Arial" w:hAnsi="Arial" w:cs="Arial"/>
          <w:sz w:val="20"/>
          <w:szCs w:val="20"/>
          <w:lang w:val="en-NZ"/>
        </w:rPr>
      </w:pPr>
      <w:r w:rsidRPr="008747F9">
        <w:rPr>
          <w:rFonts w:ascii="Arial" w:hAnsi="Arial" w:cs="Arial"/>
          <w:sz w:val="20"/>
          <w:szCs w:val="20"/>
          <w:lang w:val="en-NZ"/>
        </w:rPr>
        <w:t>The role provides leadership across the full information lifecycle — from creation and capture through to use, retention, and disposal — ensuring governance foundations support emerging technologies, automation, and AI while maintaining trust, transparency, privacy, and compliance.</w:t>
      </w:r>
    </w:p>
    <w:p w14:paraId="0C407622" w14:textId="77777777" w:rsidR="00674C5E" w:rsidRPr="005B09D5" w:rsidRDefault="00AE5B7A" w:rsidP="002B11AE">
      <w:pPr>
        <w:tabs>
          <w:tab w:val="left" w:pos="1800"/>
        </w:tabs>
        <w:spacing w:before="120" w:after="120"/>
        <w:jc w:val="both"/>
        <w:rPr>
          <w:rFonts w:ascii="Arial" w:hAnsi="Arial" w:cs="Arial"/>
        </w:rPr>
      </w:pPr>
      <w:r>
        <w:rPr>
          <w:rFonts w:ascii="Arial" w:hAnsi="Arial" w:cs="Arial"/>
        </w:rPr>
        <w:pict w14:anchorId="5E1F8FCA">
          <v:rect id="_x0000_i1029" style="width:470.2pt;height:1pt" o:hralign="center" o:hrstd="t" o:hrnoshade="t" o:hr="t" fillcolor="silver" stroked="f"/>
        </w:pict>
      </w:r>
    </w:p>
    <w:p w14:paraId="2000A449" w14:textId="77777777" w:rsidR="00C1744E" w:rsidRPr="005B09D5" w:rsidRDefault="00237CDB" w:rsidP="00C1744E">
      <w:pPr>
        <w:pStyle w:val="Heading3"/>
        <w:spacing w:before="120"/>
        <w:rPr>
          <w:i/>
          <w:iCs/>
          <w:color w:val="00703C"/>
          <w:sz w:val="28"/>
          <w:szCs w:val="28"/>
        </w:rPr>
      </w:pPr>
      <w:r w:rsidRPr="005B09D5">
        <w:rPr>
          <w:i/>
          <w:iCs/>
          <w:color w:val="00703C"/>
          <w:sz w:val="28"/>
          <w:szCs w:val="28"/>
        </w:rPr>
        <w:t>Key Responsibilities</w:t>
      </w:r>
    </w:p>
    <w:p w14:paraId="53AB4542" w14:textId="77777777" w:rsidR="008A5F2F" w:rsidRPr="005B09D5" w:rsidRDefault="008A5F2F" w:rsidP="008A5F2F">
      <w:pPr>
        <w:rPr>
          <w:rFonts w:ascii="Arial" w:hAnsi="Arial" w:cs="Arial"/>
        </w:rPr>
      </w:pPr>
    </w:p>
    <w:tbl>
      <w:tblPr>
        <w:tblW w:w="9648" w:type="dxa"/>
        <w:tblBorders>
          <w:top w:val="single" w:sz="4" w:space="0" w:color="C0C0C0"/>
          <w:bottom w:val="single" w:sz="4" w:space="0" w:color="C0C0C0"/>
          <w:insideH w:val="single" w:sz="4" w:space="0" w:color="C0C0C0"/>
        </w:tblBorders>
        <w:tblLook w:val="01E0" w:firstRow="1" w:lastRow="1" w:firstColumn="1" w:lastColumn="1" w:noHBand="0" w:noVBand="0"/>
      </w:tblPr>
      <w:tblGrid>
        <w:gridCol w:w="2579"/>
        <w:gridCol w:w="7069"/>
      </w:tblGrid>
      <w:tr w:rsidR="00AD1335" w:rsidRPr="00AC3E4C" w14:paraId="1F34FF9F" w14:textId="77777777" w:rsidTr="75D1DA5A">
        <w:trPr>
          <w:tblHeader/>
        </w:trPr>
        <w:tc>
          <w:tcPr>
            <w:tcW w:w="2579" w:type="dxa"/>
            <w:shd w:val="clear" w:color="auto" w:fill="00703C"/>
          </w:tcPr>
          <w:p w14:paraId="6C8CCC6A" w14:textId="77777777" w:rsidR="00AD1335" w:rsidRPr="00AC3E4C" w:rsidRDefault="00AD1335" w:rsidP="00AC3E4C">
            <w:pPr>
              <w:tabs>
                <w:tab w:val="left" w:pos="1800"/>
              </w:tabs>
              <w:spacing w:before="60" w:afterLines="80" w:after="192"/>
              <w:jc w:val="both"/>
              <w:rPr>
                <w:rFonts w:ascii="Arial" w:hAnsi="Arial" w:cs="Arial"/>
                <w:bCs/>
                <w:color w:val="FFFFFF"/>
                <w:sz w:val="22"/>
                <w:szCs w:val="22"/>
              </w:rPr>
            </w:pPr>
            <w:r w:rsidRPr="00AC3E4C">
              <w:rPr>
                <w:rFonts w:ascii="Arial" w:hAnsi="Arial" w:cs="Arial"/>
                <w:bCs/>
                <w:color w:val="FFFFFF"/>
                <w:sz w:val="22"/>
                <w:szCs w:val="22"/>
              </w:rPr>
              <w:t>Area</w:t>
            </w:r>
          </w:p>
        </w:tc>
        <w:tc>
          <w:tcPr>
            <w:tcW w:w="7069" w:type="dxa"/>
            <w:shd w:val="clear" w:color="auto" w:fill="00703C"/>
          </w:tcPr>
          <w:p w14:paraId="708AFDBC" w14:textId="77777777" w:rsidR="00AD1335" w:rsidRPr="00AC3E4C" w:rsidRDefault="00AD1335" w:rsidP="00AC3E4C">
            <w:pPr>
              <w:tabs>
                <w:tab w:val="left" w:pos="1800"/>
              </w:tabs>
              <w:spacing w:before="60" w:afterLines="80" w:after="192"/>
              <w:jc w:val="both"/>
              <w:rPr>
                <w:rFonts w:ascii="Arial" w:hAnsi="Arial" w:cs="Arial"/>
                <w:bCs/>
                <w:color w:val="FFFFFF"/>
                <w:sz w:val="22"/>
                <w:szCs w:val="22"/>
              </w:rPr>
            </w:pPr>
            <w:r w:rsidRPr="00AC3E4C">
              <w:rPr>
                <w:rFonts w:ascii="Arial" w:hAnsi="Arial" w:cs="Arial"/>
                <w:bCs/>
                <w:color w:val="FFFFFF"/>
                <w:sz w:val="22"/>
                <w:szCs w:val="22"/>
              </w:rPr>
              <w:t>Responsibilities</w:t>
            </w:r>
          </w:p>
        </w:tc>
      </w:tr>
      <w:tr w:rsidR="00AD1335" w:rsidRPr="00AC3E4C" w14:paraId="4EE10737" w14:textId="77777777">
        <w:tc>
          <w:tcPr>
            <w:tcW w:w="2579" w:type="dxa"/>
          </w:tcPr>
          <w:p w14:paraId="5A2804A7" w14:textId="22208621" w:rsidR="00AD1335" w:rsidRPr="00AC3E4C" w:rsidRDefault="0041452D" w:rsidP="00AC3E4C">
            <w:pPr>
              <w:tabs>
                <w:tab w:val="num" w:pos="426"/>
                <w:tab w:val="left" w:pos="1800"/>
              </w:tabs>
              <w:spacing w:before="60" w:afterLines="80" w:after="192"/>
              <w:rPr>
                <w:rFonts w:ascii="Arial" w:hAnsi="Arial" w:cs="Arial"/>
                <w:color w:val="00703C"/>
                <w:sz w:val="20"/>
                <w:szCs w:val="20"/>
              </w:rPr>
            </w:pPr>
            <w:r>
              <w:rPr>
                <w:rFonts w:ascii="Arial" w:hAnsi="Arial" w:cs="Arial"/>
                <w:color w:val="00703C"/>
                <w:sz w:val="20"/>
                <w:szCs w:val="20"/>
              </w:rPr>
              <w:t>Enterprise Data Governance</w:t>
            </w:r>
          </w:p>
          <w:p w14:paraId="4C476331" w14:textId="77777777" w:rsidR="00AD1335" w:rsidRPr="00AC3E4C" w:rsidRDefault="00AD1335" w:rsidP="00AC3E4C">
            <w:pPr>
              <w:tabs>
                <w:tab w:val="left" w:pos="-2268"/>
              </w:tabs>
              <w:spacing w:before="60" w:afterLines="80" w:after="192"/>
              <w:rPr>
                <w:rFonts w:ascii="Arial" w:hAnsi="Arial" w:cs="Arial"/>
                <w:color w:val="00703C"/>
                <w:sz w:val="20"/>
                <w:szCs w:val="20"/>
              </w:rPr>
            </w:pPr>
          </w:p>
        </w:tc>
        <w:tc>
          <w:tcPr>
            <w:tcW w:w="7069" w:type="dxa"/>
            <w:shd w:val="clear" w:color="auto" w:fill="FFFFFF"/>
          </w:tcPr>
          <w:p w14:paraId="6271A264" w14:textId="2F26E9CB" w:rsidR="0041452D" w:rsidRPr="0041452D" w:rsidRDefault="0041452D" w:rsidP="0041452D">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41452D">
              <w:rPr>
                <w:rFonts w:ascii="Arial" w:hAnsi="Arial" w:cs="Arial"/>
                <w:sz w:val="20"/>
                <w:szCs w:val="20"/>
                <w:lang w:val="en-NZ"/>
              </w:rPr>
              <w:t xml:space="preserve">Lead FMG’s enterprise data governance capability, including data ownership, stewardship, accountability, and decision rights. </w:t>
            </w:r>
          </w:p>
          <w:p w14:paraId="3C6FCA05" w14:textId="136A7710" w:rsidR="0041452D" w:rsidRPr="0041452D" w:rsidRDefault="0041452D" w:rsidP="0041452D">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41452D">
              <w:rPr>
                <w:rFonts w:ascii="Arial" w:hAnsi="Arial" w:cs="Arial"/>
                <w:sz w:val="20"/>
                <w:szCs w:val="20"/>
                <w:lang w:val="en-NZ"/>
              </w:rPr>
              <w:t xml:space="preserve">Establish and maintain governance practices that ensure data quality, consistency, transparency, and appropriate use across the Mutual. </w:t>
            </w:r>
          </w:p>
          <w:p w14:paraId="27A5E6AD" w14:textId="2D03033F" w:rsidR="0041452D" w:rsidRPr="0041452D" w:rsidRDefault="0041452D" w:rsidP="0041452D">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41452D">
              <w:rPr>
                <w:rFonts w:ascii="Arial" w:hAnsi="Arial" w:cs="Arial"/>
                <w:sz w:val="20"/>
                <w:szCs w:val="20"/>
                <w:lang w:val="en-NZ"/>
              </w:rPr>
              <w:t>Ensure data governance supports analytics, reporting, and AI</w:t>
            </w:r>
            <w:r w:rsidRPr="0041452D">
              <w:rPr>
                <w:rFonts w:ascii="Arial" w:hAnsi="Arial" w:cs="Arial"/>
                <w:sz w:val="20"/>
                <w:szCs w:val="20"/>
                <w:lang w:val="en-NZ"/>
              </w:rPr>
              <w:noBreakHyphen/>
              <w:t xml:space="preserve">enabled use cases through clear standards, definitions, and controls. </w:t>
            </w:r>
          </w:p>
          <w:p w14:paraId="3E1BE305" w14:textId="09DECDFD" w:rsidR="00F24F5D" w:rsidRPr="0041452D" w:rsidRDefault="0041452D" w:rsidP="0041452D">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41452D">
              <w:rPr>
                <w:rFonts w:ascii="Arial" w:hAnsi="Arial" w:cs="Arial"/>
                <w:sz w:val="20"/>
                <w:szCs w:val="20"/>
                <w:lang w:val="en-NZ"/>
              </w:rPr>
              <w:t>Provide guidance on ethical, responsible, and appropriate use of data in line with FMG policy and values.</w:t>
            </w:r>
          </w:p>
        </w:tc>
      </w:tr>
      <w:tr w:rsidR="00AD1335" w:rsidRPr="00AC3E4C" w14:paraId="03CED254" w14:textId="77777777">
        <w:tc>
          <w:tcPr>
            <w:tcW w:w="2579" w:type="dxa"/>
          </w:tcPr>
          <w:p w14:paraId="29DE9F00" w14:textId="737AE6EB" w:rsidR="00AD1335" w:rsidRPr="00AC3E4C" w:rsidRDefault="0041452D" w:rsidP="00AC3E4C">
            <w:pPr>
              <w:tabs>
                <w:tab w:val="num" w:pos="426"/>
                <w:tab w:val="left" w:pos="1800"/>
              </w:tabs>
              <w:spacing w:before="60" w:afterLines="80" w:after="192"/>
              <w:rPr>
                <w:rFonts w:ascii="Arial" w:hAnsi="Arial" w:cs="Arial"/>
                <w:color w:val="00703C"/>
                <w:sz w:val="20"/>
                <w:szCs w:val="20"/>
              </w:rPr>
            </w:pPr>
            <w:r>
              <w:rPr>
                <w:rFonts w:ascii="Arial" w:hAnsi="Arial" w:cs="Arial"/>
                <w:color w:val="00703C"/>
                <w:sz w:val="20"/>
                <w:szCs w:val="20"/>
              </w:rPr>
              <w:t xml:space="preserve">Enterprise </w:t>
            </w:r>
            <w:r w:rsidR="004A03F7">
              <w:rPr>
                <w:rFonts w:ascii="Arial" w:hAnsi="Arial" w:cs="Arial"/>
                <w:color w:val="00703C"/>
                <w:sz w:val="20"/>
                <w:szCs w:val="20"/>
              </w:rPr>
              <w:t xml:space="preserve">Information </w:t>
            </w:r>
            <w:r>
              <w:rPr>
                <w:rFonts w:ascii="Arial" w:hAnsi="Arial" w:cs="Arial"/>
                <w:color w:val="00703C"/>
                <w:sz w:val="20"/>
                <w:szCs w:val="20"/>
              </w:rPr>
              <w:t>Governance</w:t>
            </w:r>
            <w:r w:rsidR="004A03F7">
              <w:rPr>
                <w:rFonts w:ascii="Arial" w:hAnsi="Arial" w:cs="Arial"/>
                <w:color w:val="00703C"/>
                <w:sz w:val="20"/>
                <w:szCs w:val="20"/>
              </w:rPr>
              <w:t xml:space="preserve"> &amp; Records</w:t>
            </w:r>
            <w:r w:rsidR="00AD1335" w:rsidRPr="00AC3E4C">
              <w:rPr>
                <w:rFonts w:ascii="Arial" w:hAnsi="Arial" w:cs="Arial"/>
                <w:color w:val="00703C"/>
                <w:sz w:val="20"/>
                <w:szCs w:val="20"/>
              </w:rPr>
              <w:t xml:space="preserve"> </w:t>
            </w:r>
          </w:p>
        </w:tc>
        <w:tc>
          <w:tcPr>
            <w:tcW w:w="7069" w:type="dxa"/>
            <w:shd w:val="clear" w:color="auto" w:fill="FFFFFF"/>
          </w:tcPr>
          <w:p w14:paraId="035DFFF3" w14:textId="518D2FE4" w:rsidR="00FF0729" w:rsidRPr="00FF0729" w:rsidRDefault="00FF0729" w:rsidP="00FF0729">
            <w:pPr>
              <w:numPr>
                <w:ilvl w:val="0"/>
                <w:numId w:val="3"/>
              </w:numPr>
              <w:tabs>
                <w:tab w:val="clear" w:pos="720"/>
                <w:tab w:val="num" w:pos="252"/>
                <w:tab w:val="num" w:pos="305"/>
              </w:tabs>
              <w:overflowPunct w:val="0"/>
              <w:autoSpaceDE w:val="0"/>
              <w:autoSpaceDN w:val="0"/>
              <w:adjustRightInd w:val="0"/>
              <w:spacing w:before="120" w:after="120" w:line="240" w:lineRule="atLeast"/>
              <w:ind w:left="249" w:hanging="249"/>
              <w:textAlignment w:val="baseline"/>
              <w:rPr>
                <w:rFonts w:ascii="Arial" w:hAnsi="Arial" w:cs="Arial"/>
                <w:sz w:val="20"/>
                <w:szCs w:val="20"/>
                <w:lang w:val="en-NZ"/>
              </w:rPr>
            </w:pPr>
            <w:r w:rsidRPr="00FF0729">
              <w:rPr>
                <w:rFonts w:ascii="Arial" w:hAnsi="Arial" w:cs="Arial"/>
                <w:sz w:val="20"/>
                <w:szCs w:val="20"/>
                <w:lang w:val="en-NZ"/>
              </w:rPr>
              <w:t xml:space="preserve">Lead enterprise information management and records practices, including retention, archiving, and disposal. </w:t>
            </w:r>
          </w:p>
          <w:p w14:paraId="4830B896" w14:textId="6FEC0000" w:rsidR="00FF0729" w:rsidRPr="00FF0729" w:rsidRDefault="00FF0729" w:rsidP="00FF0729">
            <w:pPr>
              <w:numPr>
                <w:ilvl w:val="0"/>
                <w:numId w:val="3"/>
              </w:numPr>
              <w:tabs>
                <w:tab w:val="clear" w:pos="720"/>
                <w:tab w:val="num" w:pos="252"/>
                <w:tab w:val="num" w:pos="305"/>
              </w:tabs>
              <w:overflowPunct w:val="0"/>
              <w:autoSpaceDE w:val="0"/>
              <w:autoSpaceDN w:val="0"/>
              <w:adjustRightInd w:val="0"/>
              <w:spacing w:before="120" w:after="120" w:line="240" w:lineRule="atLeast"/>
              <w:ind w:left="249" w:hanging="249"/>
              <w:textAlignment w:val="baseline"/>
              <w:rPr>
                <w:rFonts w:ascii="Arial" w:hAnsi="Arial" w:cs="Arial"/>
                <w:sz w:val="20"/>
                <w:szCs w:val="20"/>
                <w:lang w:val="en-NZ"/>
              </w:rPr>
            </w:pPr>
            <w:r w:rsidRPr="00FF0729">
              <w:rPr>
                <w:rFonts w:ascii="Arial" w:hAnsi="Arial" w:cs="Arial"/>
                <w:sz w:val="20"/>
                <w:szCs w:val="20"/>
                <w:lang w:val="en-NZ"/>
              </w:rPr>
              <w:t xml:space="preserve">Ensure information governance policies, standards, and procedures are practical, current, and consistently applied. </w:t>
            </w:r>
          </w:p>
          <w:p w14:paraId="10262BE3" w14:textId="3644C404" w:rsidR="00FF0729" w:rsidRPr="00FF0729" w:rsidRDefault="00FF0729" w:rsidP="00FF0729">
            <w:pPr>
              <w:numPr>
                <w:ilvl w:val="0"/>
                <w:numId w:val="3"/>
              </w:numPr>
              <w:tabs>
                <w:tab w:val="clear" w:pos="720"/>
                <w:tab w:val="num" w:pos="252"/>
                <w:tab w:val="num" w:pos="305"/>
              </w:tabs>
              <w:overflowPunct w:val="0"/>
              <w:autoSpaceDE w:val="0"/>
              <w:autoSpaceDN w:val="0"/>
              <w:adjustRightInd w:val="0"/>
              <w:spacing w:before="120" w:after="120" w:line="240" w:lineRule="atLeast"/>
              <w:ind w:left="249" w:hanging="249"/>
              <w:textAlignment w:val="baseline"/>
              <w:rPr>
                <w:rFonts w:ascii="Arial" w:hAnsi="Arial" w:cs="Arial"/>
                <w:sz w:val="20"/>
                <w:szCs w:val="20"/>
                <w:lang w:val="en-NZ"/>
              </w:rPr>
            </w:pPr>
            <w:r w:rsidRPr="00FF0729">
              <w:rPr>
                <w:rFonts w:ascii="Arial" w:hAnsi="Arial" w:cs="Arial"/>
                <w:sz w:val="20"/>
                <w:szCs w:val="20"/>
                <w:lang w:val="en-NZ"/>
              </w:rPr>
              <w:t xml:space="preserve">Provide oversight of information classification, metadata, and lifecycle management across structured and unstructured information. </w:t>
            </w:r>
          </w:p>
          <w:p w14:paraId="799C7F5C" w14:textId="7AAAC5F5" w:rsidR="00AD1335" w:rsidRPr="00FF0729" w:rsidRDefault="00FF0729" w:rsidP="00FF0729">
            <w:pPr>
              <w:numPr>
                <w:ilvl w:val="0"/>
                <w:numId w:val="3"/>
              </w:numPr>
              <w:tabs>
                <w:tab w:val="clear" w:pos="720"/>
                <w:tab w:val="num" w:pos="252"/>
                <w:tab w:val="num" w:pos="305"/>
              </w:tabs>
              <w:overflowPunct w:val="0"/>
              <w:autoSpaceDE w:val="0"/>
              <w:autoSpaceDN w:val="0"/>
              <w:adjustRightInd w:val="0"/>
              <w:spacing w:before="120" w:after="120" w:line="240" w:lineRule="atLeast"/>
              <w:ind w:left="249" w:hanging="249"/>
              <w:textAlignment w:val="baseline"/>
              <w:rPr>
                <w:rFonts w:ascii="Arial" w:hAnsi="Arial" w:cs="Arial"/>
                <w:sz w:val="20"/>
                <w:szCs w:val="20"/>
                <w:lang w:val="en-NZ"/>
              </w:rPr>
            </w:pPr>
            <w:r w:rsidRPr="00FF0729">
              <w:rPr>
                <w:rFonts w:ascii="Arial" w:hAnsi="Arial" w:cs="Arial"/>
                <w:sz w:val="20"/>
                <w:szCs w:val="20"/>
                <w:lang w:val="en-NZ"/>
              </w:rPr>
              <w:t>Support compliance with legislative and regulatory obligations relating to information and records management.</w:t>
            </w:r>
          </w:p>
        </w:tc>
      </w:tr>
      <w:tr w:rsidR="00AD1335" w:rsidRPr="00AC3E4C" w14:paraId="4AF092CE" w14:textId="77777777">
        <w:tc>
          <w:tcPr>
            <w:tcW w:w="2579" w:type="dxa"/>
          </w:tcPr>
          <w:p w14:paraId="30679531" w14:textId="6E2058C0" w:rsidR="00AD1335" w:rsidRPr="00AC3E4C" w:rsidRDefault="00AD0C59" w:rsidP="00AC3E4C">
            <w:pPr>
              <w:tabs>
                <w:tab w:val="num" w:pos="426"/>
                <w:tab w:val="left" w:pos="1800"/>
              </w:tabs>
              <w:spacing w:before="60" w:afterLines="80" w:after="192"/>
              <w:rPr>
                <w:rFonts w:ascii="Arial" w:hAnsi="Arial" w:cs="Arial"/>
                <w:color w:val="00703C"/>
                <w:sz w:val="20"/>
                <w:szCs w:val="20"/>
              </w:rPr>
            </w:pPr>
            <w:r w:rsidRPr="75D1DA5A">
              <w:rPr>
                <w:rFonts w:ascii="Arial" w:hAnsi="Arial" w:cs="Arial"/>
                <w:color w:val="00703C"/>
                <w:sz w:val="20"/>
                <w:szCs w:val="20"/>
              </w:rPr>
              <w:t>Data &amp; Information Protection</w:t>
            </w:r>
            <w:r w:rsidR="4B24E683" w:rsidRPr="75D1DA5A">
              <w:rPr>
                <w:rFonts w:ascii="Arial" w:hAnsi="Arial" w:cs="Arial"/>
                <w:color w:val="00703C"/>
                <w:sz w:val="20"/>
                <w:szCs w:val="20"/>
              </w:rPr>
              <w:t xml:space="preserve">, </w:t>
            </w:r>
            <w:r w:rsidRPr="75D1DA5A">
              <w:rPr>
                <w:rFonts w:ascii="Arial" w:hAnsi="Arial" w:cs="Arial"/>
                <w:color w:val="00703C"/>
                <w:sz w:val="20"/>
                <w:szCs w:val="20"/>
              </w:rPr>
              <w:t xml:space="preserve">Privacy </w:t>
            </w:r>
            <w:r w:rsidR="7D89579E" w:rsidRPr="75D1DA5A">
              <w:rPr>
                <w:rFonts w:ascii="Arial" w:hAnsi="Arial" w:cs="Arial"/>
                <w:color w:val="00703C"/>
                <w:sz w:val="20"/>
                <w:szCs w:val="20"/>
              </w:rPr>
              <w:t>&amp; Discovery</w:t>
            </w:r>
          </w:p>
        </w:tc>
        <w:tc>
          <w:tcPr>
            <w:tcW w:w="7069" w:type="dxa"/>
            <w:shd w:val="clear" w:color="auto" w:fill="FFFFFF"/>
          </w:tcPr>
          <w:p w14:paraId="2AFA1AAE" w14:textId="77777777" w:rsidR="009C6C74" w:rsidRDefault="7D89579E" w:rsidP="00223233">
            <w:pPr>
              <w:numPr>
                <w:ilvl w:val="0"/>
                <w:numId w:val="3"/>
              </w:numPr>
              <w:tabs>
                <w:tab w:val="clear" w:pos="720"/>
                <w:tab w:val="num" w:pos="252"/>
                <w:tab w:val="num" w:pos="305"/>
              </w:tabs>
              <w:overflowPunct w:val="0"/>
              <w:autoSpaceDE w:val="0"/>
              <w:autoSpaceDN w:val="0"/>
              <w:adjustRightInd w:val="0"/>
              <w:spacing w:before="120" w:after="120" w:line="240" w:lineRule="atLeast"/>
              <w:ind w:left="249" w:hanging="249"/>
              <w:textAlignment w:val="baseline"/>
              <w:rPr>
                <w:rFonts w:ascii="Arial" w:hAnsi="Arial" w:cs="Arial"/>
                <w:sz w:val="20"/>
                <w:szCs w:val="20"/>
                <w:lang w:val="en-NZ"/>
              </w:rPr>
            </w:pPr>
            <w:r w:rsidRPr="00223233">
              <w:rPr>
                <w:rFonts w:ascii="Arial" w:hAnsi="Arial" w:cs="Arial"/>
                <w:sz w:val="20"/>
                <w:szCs w:val="20"/>
                <w:lang w:val="en-NZ"/>
              </w:rPr>
              <w:t>Lead governance practices that ensure information and data are protected in line with FMG policies, privacy obligations, regulatory requirements, and risk appetite</w:t>
            </w:r>
            <w:r w:rsidR="00223233">
              <w:rPr>
                <w:rFonts w:ascii="Arial" w:hAnsi="Arial" w:cs="Arial"/>
                <w:sz w:val="20"/>
                <w:szCs w:val="20"/>
                <w:lang w:val="en-NZ"/>
              </w:rPr>
              <w:t>.</w:t>
            </w:r>
          </w:p>
          <w:p w14:paraId="11F3FAF4" w14:textId="08F29B49" w:rsidR="009C6C74" w:rsidRDefault="7D89579E" w:rsidP="009C6C74">
            <w:pPr>
              <w:numPr>
                <w:ilvl w:val="0"/>
                <w:numId w:val="3"/>
              </w:numPr>
              <w:tabs>
                <w:tab w:val="clear" w:pos="720"/>
                <w:tab w:val="num" w:pos="252"/>
                <w:tab w:val="num" w:pos="305"/>
              </w:tabs>
              <w:overflowPunct w:val="0"/>
              <w:autoSpaceDE w:val="0"/>
              <w:autoSpaceDN w:val="0"/>
              <w:adjustRightInd w:val="0"/>
              <w:spacing w:before="120" w:after="120" w:line="240" w:lineRule="atLeast"/>
              <w:ind w:left="249" w:hanging="249"/>
              <w:textAlignment w:val="baseline"/>
              <w:rPr>
                <w:rFonts w:ascii="Arial" w:hAnsi="Arial" w:cs="Arial"/>
                <w:sz w:val="20"/>
                <w:szCs w:val="20"/>
                <w:lang w:val="en-NZ"/>
              </w:rPr>
            </w:pPr>
            <w:r w:rsidRPr="00223233">
              <w:rPr>
                <w:rFonts w:ascii="Arial" w:hAnsi="Arial" w:cs="Arial"/>
                <w:sz w:val="20"/>
                <w:szCs w:val="20"/>
                <w:lang w:val="en-NZ"/>
              </w:rPr>
              <w:t>Establish and maintain Information Protection frameworks, standards, and guard</w:t>
            </w:r>
            <w:r w:rsidRPr="00223233">
              <w:rPr>
                <w:rFonts w:ascii="Cambria Math" w:hAnsi="Cambria Math" w:cs="Cambria Math"/>
                <w:sz w:val="20"/>
                <w:szCs w:val="20"/>
                <w:lang w:val="en-NZ"/>
              </w:rPr>
              <w:t>‑</w:t>
            </w:r>
            <w:r w:rsidRPr="00223233">
              <w:rPr>
                <w:rFonts w:ascii="Arial" w:hAnsi="Arial" w:cs="Arial"/>
                <w:sz w:val="20"/>
                <w:szCs w:val="20"/>
                <w:lang w:val="en-NZ"/>
              </w:rPr>
              <w:t>rails, including those enabled through Microsoft Purview, to support classification, retention, discovery, and protection of information and data assets.</w:t>
            </w:r>
          </w:p>
          <w:p w14:paraId="7D0E8EBB" w14:textId="49AE6F95" w:rsidR="009C6C74" w:rsidRDefault="7D89579E" w:rsidP="009C6C74">
            <w:pPr>
              <w:numPr>
                <w:ilvl w:val="0"/>
                <w:numId w:val="3"/>
              </w:numPr>
              <w:tabs>
                <w:tab w:val="clear" w:pos="720"/>
                <w:tab w:val="num" w:pos="252"/>
                <w:tab w:val="num" w:pos="305"/>
              </w:tabs>
              <w:overflowPunct w:val="0"/>
              <w:autoSpaceDE w:val="0"/>
              <w:autoSpaceDN w:val="0"/>
              <w:adjustRightInd w:val="0"/>
              <w:spacing w:before="120" w:after="120" w:line="240" w:lineRule="atLeast"/>
              <w:ind w:left="249" w:hanging="249"/>
              <w:textAlignment w:val="baseline"/>
              <w:rPr>
                <w:rFonts w:ascii="Arial" w:hAnsi="Arial" w:cs="Arial"/>
                <w:sz w:val="20"/>
                <w:szCs w:val="20"/>
                <w:lang w:val="en-NZ"/>
              </w:rPr>
            </w:pPr>
            <w:r w:rsidRPr="009C6C74">
              <w:rPr>
                <w:rFonts w:ascii="Arial" w:hAnsi="Arial" w:cs="Arial"/>
                <w:sz w:val="20"/>
                <w:szCs w:val="20"/>
                <w:lang w:val="en-NZ"/>
              </w:rPr>
              <w:t>Ensure privacy</w:t>
            </w:r>
            <w:r w:rsidRPr="009C6C74">
              <w:rPr>
                <w:rFonts w:ascii="Cambria Math" w:hAnsi="Cambria Math" w:cs="Cambria Math"/>
                <w:sz w:val="20"/>
                <w:szCs w:val="20"/>
                <w:lang w:val="en-NZ"/>
              </w:rPr>
              <w:t>‑</w:t>
            </w:r>
            <w:r w:rsidRPr="009C6C74">
              <w:rPr>
                <w:rFonts w:ascii="Arial" w:hAnsi="Arial" w:cs="Arial"/>
                <w:sz w:val="20"/>
                <w:szCs w:val="20"/>
                <w:lang w:val="en-NZ"/>
              </w:rPr>
              <w:t>by</w:t>
            </w:r>
            <w:r w:rsidRPr="009C6C74">
              <w:rPr>
                <w:rFonts w:ascii="Cambria Math" w:hAnsi="Cambria Math" w:cs="Cambria Math"/>
                <w:sz w:val="20"/>
                <w:szCs w:val="20"/>
                <w:lang w:val="en-NZ"/>
              </w:rPr>
              <w:t>‑</w:t>
            </w:r>
            <w:r w:rsidRPr="009C6C74">
              <w:rPr>
                <w:rFonts w:ascii="Arial" w:hAnsi="Arial" w:cs="Arial"/>
                <w:sz w:val="20"/>
                <w:szCs w:val="20"/>
                <w:lang w:val="en-NZ"/>
              </w:rPr>
              <w:t>design and information protection principles are embedded into data, analytics, knowledge, and AI</w:t>
            </w:r>
            <w:r w:rsidRPr="009C6C74">
              <w:rPr>
                <w:rFonts w:ascii="Cambria Math" w:hAnsi="Cambria Math" w:cs="Cambria Math"/>
                <w:sz w:val="20"/>
                <w:szCs w:val="20"/>
                <w:lang w:val="en-NZ"/>
              </w:rPr>
              <w:t>‑</w:t>
            </w:r>
            <w:r w:rsidRPr="009C6C74">
              <w:rPr>
                <w:rFonts w:ascii="Arial" w:hAnsi="Arial" w:cs="Arial"/>
                <w:sz w:val="20"/>
                <w:szCs w:val="20"/>
                <w:lang w:val="en-NZ"/>
              </w:rPr>
              <w:t>enabled initiatives.</w:t>
            </w:r>
          </w:p>
          <w:p w14:paraId="77E2B82C" w14:textId="45A46D88" w:rsidR="009C6C74" w:rsidRDefault="7D89579E" w:rsidP="009C6C74">
            <w:pPr>
              <w:numPr>
                <w:ilvl w:val="0"/>
                <w:numId w:val="3"/>
              </w:numPr>
              <w:tabs>
                <w:tab w:val="clear" w:pos="720"/>
                <w:tab w:val="num" w:pos="252"/>
                <w:tab w:val="num" w:pos="305"/>
              </w:tabs>
              <w:overflowPunct w:val="0"/>
              <w:autoSpaceDE w:val="0"/>
              <w:autoSpaceDN w:val="0"/>
              <w:adjustRightInd w:val="0"/>
              <w:spacing w:before="120" w:after="120" w:line="240" w:lineRule="atLeast"/>
              <w:ind w:left="249" w:hanging="249"/>
              <w:textAlignment w:val="baseline"/>
              <w:rPr>
                <w:rFonts w:ascii="Arial" w:hAnsi="Arial" w:cs="Arial"/>
                <w:sz w:val="20"/>
                <w:szCs w:val="20"/>
                <w:lang w:val="en-NZ"/>
              </w:rPr>
            </w:pPr>
            <w:r w:rsidRPr="009C6C74">
              <w:rPr>
                <w:rFonts w:ascii="Arial" w:hAnsi="Arial" w:cs="Arial"/>
                <w:sz w:val="20"/>
                <w:szCs w:val="20"/>
                <w:lang w:val="en-NZ"/>
              </w:rPr>
              <w:t xml:space="preserve">Provide governance oversight and advice for eDiscovery and external information sharing practices, ensuring they are managed in a compliant, </w:t>
            </w:r>
            <w:r w:rsidRPr="009C6C74">
              <w:rPr>
                <w:rFonts w:ascii="Arial" w:hAnsi="Arial" w:cs="Arial"/>
                <w:sz w:val="20"/>
                <w:szCs w:val="20"/>
                <w:lang w:val="en-NZ"/>
              </w:rPr>
              <w:lastRenderedPageBreak/>
              <w:t>proportionate, and defensible manner.</w:t>
            </w:r>
          </w:p>
          <w:p w14:paraId="1EF9EA13" w14:textId="1FB64A47" w:rsidR="009C6C74" w:rsidRDefault="7D89579E" w:rsidP="009C6C74">
            <w:pPr>
              <w:numPr>
                <w:ilvl w:val="0"/>
                <w:numId w:val="3"/>
              </w:numPr>
              <w:tabs>
                <w:tab w:val="clear" w:pos="720"/>
                <w:tab w:val="num" w:pos="252"/>
                <w:tab w:val="num" w:pos="305"/>
              </w:tabs>
              <w:overflowPunct w:val="0"/>
              <w:autoSpaceDE w:val="0"/>
              <w:autoSpaceDN w:val="0"/>
              <w:adjustRightInd w:val="0"/>
              <w:spacing w:before="120" w:after="120" w:line="240" w:lineRule="atLeast"/>
              <w:ind w:left="249" w:hanging="249"/>
              <w:textAlignment w:val="baseline"/>
              <w:rPr>
                <w:rFonts w:ascii="Arial" w:hAnsi="Arial" w:cs="Arial"/>
                <w:sz w:val="20"/>
                <w:szCs w:val="20"/>
                <w:lang w:val="en-NZ"/>
              </w:rPr>
            </w:pPr>
            <w:r w:rsidRPr="009C6C74">
              <w:rPr>
                <w:rFonts w:ascii="Arial" w:hAnsi="Arial" w:cs="Arial"/>
                <w:sz w:val="20"/>
                <w:szCs w:val="20"/>
                <w:lang w:val="en-NZ"/>
              </w:rPr>
              <w:t>Work closely with Privacy, Risk, Security, Legal, and Architecture teams to ensure appropriate controls, guidance, and assurance are in place.</w:t>
            </w:r>
          </w:p>
          <w:p w14:paraId="1452E38F" w14:textId="3755EAE9" w:rsidR="00AD1335" w:rsidRPr="009C6C74" w:rsidRDefault="7D89579E" w:rsidP="009C6C74">
            <w:pPr>
              <w:numPr>
                <w:ilvl w:val="0"/>
                <w:numId w:val="3"/>
              </w:numPr>
              <w:tabs>
                <w:tab w:val="clear" w:pos="720"/>
                <w:tab w:val="num" w:pos="252"/>
                <w:tab w:val="num" w:pos="305"/>
              </w:tabs>
              <w:overflowPunct w:val="0"/>
              <w:autoSpaceDE w:val="0"/>
              <w:autoSpaceDN w:val="0"/>
              <w:adjustRightInd w:val="0"/>
              <w:spacing w:before="120" w:after="120" w:line="240" w:lineRule="atLeast"/>
              <w:ind w:left="249" w:hanging="249"/>
              <w:textAlignment w:val="baseline"/>
              <w:rPr>
                <w:rFonts w:ascii="Arial" w:hAnsi="Arial" w:cs="Arial"/>
                <w:sz w:val="20"/>
                <w:szCs w:val="20"/>
                <w:lang w:val="en-NZ"/>
              </w:rPr>
            </w:pPr>
            <w:r w:rsidRPr="009C6C74">
              <w:rPr>
                <w:rFonts w:ascii="Arial" w:hAnsi="Arial" w:cs="Arial"/>
                <w:sz w:val="20"/>
                <w:szCs w:val="20"/>
                <w:lang w:val="en-NZ"/>
              </w:rPr>
              <w:t>Provide advice on the appropriate handling, sharing, and use of sensitive, personal, and confidential information.</w:t>
            </w:r>
          </w:p>
        </w:tc>
      </w:tr>
      <w:tr w:rsidR="00AD1335" w:rsidRPr="00AC3E4C" w14:paraId="0A70DE86" w14:textId="77777777">
        <w:tc>
          <w:tcPr>
            <w:tcW w:w="2579" w:type="dxa"/>
          </w:tcPr>
          <w:p w14:paraId="0A3CC8F9" w14:textId="64C583C7" w:rsidR="00AD1335" w:rsidRPr="00AC3E4C" w:rsidRDefault="00B50906" w:rsidP="00AC3E4C">
            <w:pPr>
              <w:tabs>
                <w:tab w:val="num" w:pos="426"/>
                <w:tab w:val="left" w:pos="1800"/>
              </w:tabs>
              <w:spacing w:before="60" w:afterLines="80" w:after="192"/>
              <w:rPr>
                <w:rFonts w:ascii="Arial" w:hAnsi="Arial" w:cs="Arial"/>
                <w:color w:val="00703C"/>
                <w:sz w:val="20"/>
                <w:szCs w:val="20"/>
              </w:rPr>
            </w:pPr>
            <w:r>
              <w:rPr>
                <w:rFonts w:ascii="Arial" w:hAnsi="Arial" w:cs="Arial"/>
                <w:color w:val="00703C"/>
                <w:sz w:val="20"/>
                <w:szCs w:val="20"/>
              </w:rPr>
              <w:lastRenderedPageBreak/>
              <w:t>Knowledge Management</w:t>
            </w:r>
          </w:p>
        </w:tc>
        <w:tc>
          <w:tcPr>
            <w:tcW w:w="7069" w:type="dxa"/>
            <w:shd w:val="clear" w:color="auto" w:fill="FFFFFF"/>
          </w:tcPr>
          <w:p w14:paraId="3ED803CB" w14:textId="4A2FE813" w:rsidR="00B50906" w:rsidRPr="00B50906" w:rsidRDefault="00B50906" w:rsidP="00B50906">
            <w:pPr>
              <w:numPr>
                <w:ilvl w:val="0"/>
                <w:numId w:val="7"/>
              </w:numPr>
              <w:tabs>
                <w:tab w:val="clear" w:pos="720"/>
                <w:tab w:val="num" w:pos="301"/>
              </w:tabs>
              <w:overflowPunct w:val="0"/>
              <w:autoSpaceDE w:val="0"/>
              <w:autoSpaceDN w:val="0"/>
              <w:adjustRightInd w:val="0"/>
              <w:spacing w:before="60" w:afterLines="80" w:after="192" w:line="240" w:lineRule="atLeast"/>
              <w:ind w:left="301" w:hanging="301"/>
              <w:textAlignment w:val="baseline"/>
              <w:rPr>
                <w:rFonts w:ascii="Arial" w:hAnsi="Arial" w:cs="Arial"/>
                <w:sz w:val="20"/>
                <w:szCs w:val="20"/>
                <w:lang w:val="en-NZ"/>
              </w:rPr>
            </w:pPr>
            <w:r w:rsidRPr="00B50906">
              <w:rPr>
                <w:rFonts w:ascii="Arial" w:hAnsi="Arial" w:cs="Arial"/>
                <w:sz w:val="20"/>
                <w:szCs w:val="20"/>
                <w:lang w:val="en-NZ"/>
              </w:rPr>
              <w:t xml:space="preserve">Provide leadership for FMG’s approach to knowledge management, including enterprise knowledge bases and shared information repositories. </w:t>
            </w:r>
          </w:p>
          <w:p w14:paraId="001652B3" w14:textId="20D505F3" w:rsidR="00B50906" w:rsidRPr="00B50906" w:rsidRDefault="00B50906" w:rsidP="00B50906">
            <w:pPr>
              <w:numPr>
                <w:ilvl w:val="0"/>
                <w:numId w:val="7"/>
              </w:numPr>
              <w:tabs>
                <w:tab w:val="clear" w:pos="720"/>
                <w:tab w:val="num" w:pos="301"/>
              </w:tabs>
              <w:overflowPunct w:val="0"/>
              <w:autoSpaceDE w:val="0"/>
              <w:autoSpaceDN w:val="0"/>
              <w:adjustRightInd w:val="0"/>
              <w:spacing w:before="60" w:afterLines="80" w:after="192" w:line="240" w:lineRule="atLeast"/>
              <w:ind w:left="301" w:hanging="301"/>
              <w:textAlignment w:val="baseline"/>
              <w:rPr>
                <w:rFonts w:ascii="Arial" w:hAnsi="Arial" w:cs="Arial"/>
                <w:sz w:val="20"/>
                <w:szCs w:val="20"/>
                <w:lang w:val="en-NZ"/>
              </w:rPr>
            </w:pPr>
            <w:r w:rsidRPr="00B50906">
              <w:rPr>
                <w:rFonts w:ascii="Arial" w:hAnsi="Arial" w:cs="Arial"/>
                <w:sz w:val="20"/>
                <w:szCs w:val="20"/>
                <w:lang w:val="en-NZ"/>
              </w:rPr>
              <w:t xml:space="preserve">Ensure knowledge assets are curated, accessible, accurate, and maintained to support employee effectiveness and client service. </w:t>
            </w:r>
          </w:p>
          <w:p w14:paraId="736F493B" w14:textId="350CABD3" w:rsidR="00B50906" w:rsidRPr="00B50906" w:rsidRDefault="00B50906" w:rsidP="00B50906">
            <w:pPr>
              <w:numPr>
                <w:ilvl w:val="0"/>
                <w:numId w:val="7"/>
              </w:numPr>
              <w:tabs>
                <w:tab w:val="clear" w:pos="720"/>
                <w:tab w:val="num" w:pos="301"/>
              </w:tabs>
              <w:overflowPunct w:val="0"/>
              <w:autoSpaceDE w:val="0"/>
              <w:autoSpaceDN w:val="0"/>
              <w:adjustRightInd w:val="0"/>
              <w:spacing w:before="60" w:afterLines="80" w:after="192" w:line="240" w:lineRule="atLeast"/>
              <w:ind w:left="301" w:hanging="301"/>
              <w:textAlignment w:val="baseline"/>
              <w:rPr>
                <w:rFonts w:ascii="Arial" w:hAnsi="Arial" w:cs="Arial"/>
                <w:sz w:val="20"/>
                <w:szCs w:val="20"/>
                <w:lang w:val="en-NZ"/>
              </w:rPr>
            </w:pPr>
            <w:r w:rsidRPr="00B50906">
              <w:rPr>
                <w:rFonts w:ascii="Arial" w:hAnsi="Arial" w:cs="Arial"/>
                <w:sz w:val="20"/>
                <w:szCs w:val="20"/>
                <w:lang w:val="en-NZ"/>
              </w:rPr>
              <w:t>Work with Digital, Analytics, and AI</w:t>
            </w:r>
            <w:r w:rsidRPr="00B50906">
              <w:rPr>
                <w:rFonts w:ascii="Arial" w:hAnsi="Arial" w:cs="Arial"/>
                <w:sz w:val="20"/>
                <w:szCs w:val="20"/>
                <w:lang w:val="en-NZ"/>
              </w:rPr>
              <w:noBreakHyphen/>
              <w:t xml:space="preserve">enabled initiatives to ensure knowledge sources used by automation and AI are governed and fit for purpose. </w:t>
            </w:r>
          </w:p>
          <w:p w14:paraId="58F6ADA8" w14:textId="2D3E20F4" w:rsidR="00AD1335" w:rsidRPr="00B50906" w:rsidRDefault="00B50906" w:rsidP="00B50906">
            <w:pPr>
              <w:numPr>
                <w:ilvl w:val="0"/>
                <w:numId w:val="7"/>
              </w:numPr>
              <w:tabs>
                <w:tab w:val="clear" w:pos="720"/>
                <w:tab w:val="num" w:pos="301"/>
              </w:tabs>
              <w:overflowPunct w:val="0"/>
              <w:autoSpaceDE w:val="0"/>
              <w:autoSpaceDN w:val="0"/>
              <w:adjustRightInd w:val="0"/>
              <w:spacing w:before="60" w:afterLines="80" w:after="192" w:line="240" w:lineRule="atLeast"/>
              <w:ind w:left="301" w:hanging="301"/>
              <w:textAlignment w:val="baseline"/>
              <w:rPr>
                <w:rFonts w:ascii="Arial" w:hAnsi="Arial" w:cs="Arial"/>
                <w:sz w:val="20"/>
                <w:szCs w:val="20"/>
                <w:lang w:val="en-NZ"/>
              </w:rPr>
            </w:pPr>
            <w:r w:rsidRPr="00B50906">
              <w:rPr>
                <w:rFonts w:ascii="Arial" w:hAnsi="Arial" w:cs="Arial"/>
                <w:sz w:val="20"/>
                <w:szCs w:val="20"/>
                <w:lang w:val="en-NZ"/>
              </w:rPr>
              <w:t>Ensure lifecycle, quality, privacy, and protection controls are embedded for knowledge used in AI</w:t>
            </w:r>
            <w:r w:rsidRPr="00B50906">
              <w:rPr>
                <w:rFonts w:ascii="Arial" w:hAnsi="Arial" w:cs="Arial"/>
                <w:sz w:val="20"/>
                <w:szCs w:val="20"/>
                <w:lang w:val="en-NZ"/>
              </w:rPr>
              <w:noBreakHyphen/>
              <w:t>assisted search, decision support, and automation.</w:t>
            </w:r>
          </w:p>
        </w:tc>
      </w:tr>
      <w:tr w:rsidR="00662326" w:rsidRPr="00AC3E4C" w14:paraId="1EB345F9" w14:textId="77777777">
        <w:tc>
          <w:tcPr>
            <w:tcW w:w="2579" w:type="dxa"/>
          </w:tcPr>
          <w:p w14:paraId="27158203" w14:textId="7BFD42B1" w:rsidR="00662326" w:rsidRPr="00893AAC" w:rsidRDefault="00B50906" w:rsidP="00321414">
            <w:pPr>
              <w:tabs>
                <w:tab w:val="left" w:pos="-720"/>
                <w:tab w:val="left" w:pos="0"/>
                <w:tab w:val="left" w:pos="1440"/>
              </w:tabs>
              <w:suppressAutoHyphens/>
              <w:spacing w:before="60" w:after="60"/>
              <w:rPr>
                <w:rFonts w:ascii="Arial" w:hAnsi="Arial" w:cs="Arial"/>
                <w:color w:val="00703C"/>
                <w:sz w:val="20"/>
                <w:szCs w:val="20"/>
                <w:lang w:val="en-NZ"/>
              </w:rPr>
            </w:pPr>
            <w:r>
              <w:rPr>
                <w:rFonts w:ascii="Arial" w:hAnsi="Arial" w:cs="Arial"/>
                <w:color w:val="00703C"/>
                <w:sz w:val="20"/>
                <w:szCs w:val="20"/>
                <w:lang w:val="en-NZ"/>
              </w:rPr>
              <w:t>Data Quality, Ethics &amp; Responsible Use</w:t>
            </w:r>
          </w:p>
          <w:p w14:paraId="7F2983EE" w14:textId="77777777" w:rsidR="00662326" w:rsidRPr="00893AAC" w:rsidRDefault="00662326" w:rsidP="00321414">
            <w:pPr>
              <w:tabs>
                <w:tab w:val="num" w:pos="426"/>
                <w:tab w:val="left" w:pos="1800"/>
              </w:tabs>
              <w:spacing w:before="60" w:afterLines="80" w:after="192"/>
              <w:rPr>
                <w:rFonts w:ascii="Arial" w:hAnsi="Arial" w:cs="Arial"/>
                <w:color w:val="00703C"/>
                <w:sz w:val="20"/>
                <w:szCs w:val="20"/>
                <w:lang w:val="en-NZ"/>
              </w:rPr>
            </w:pPr>
          </w:p>
        </w:tc>
        <w:tc>
          <w:tcPr>
            <w:tcW w:w="7069" w:type="dxa"/>
            <w:shd w:val="clear" w:color="auto" w:fill="FFFFFF"/>
          </w:tcPr>
          <w:p w14:paraId="685013B0" w14:textId="32FCDEBB" w:rsidR="009751C9" w:rsidRPr="009751C9" w:rsidRDefault="009751C9" w:rsidP="009751C9">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9751C9">
              <w:rPr>
                <w:rFonts w:ascii="Arial" w:hAnsi="Arial" w:cs="Arial"/>
                <w:sz w:val="20"/>
                <w:szCs w:val="20"/>
                <w:lang w:val="en-NZ"/>
              </w:rPr>
              <w:t xml:space="preserve">Lead enterprise data quality management practices, including identification, prioritisation, and remediation of data quality issues. </w:t>
            </w:r>
          </w:p>
          <w:p w14:paraId="631024D2" w14:textId="6DA9FE93" w:rsidR="009751C9" w:rsidRPr="009751C9" w:rsidRDefault="009751C9" w:rsidP="009751C9">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9751C9">
              <w:rPr>
                <w:rFonts w:ascii="Arial" w:hAnsi="Arial" w:cs="Arial"/>
                <w:sz w:val="20"/>
                <w:szCs w:val="20"/>
                <w:lang w:val="en-NZ"/>
              </w:rPr>
              <w:t xml:space="preserve">Support ethical, responsible, and appropriate use of data, information, and knowledge in line with FMG policy and values. </w:t>
            </w:r>
          </w:p>
          <w:p w14:paraId="7D617CFA" w14:textId="2012403D" w:rsidR="009751C9" w:rsidRPr="009751C9" w:rsidRDefault="009751C9" w:rsidP="009751C9">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9751C9">
              <w:rPr>
                <w:rFonts w:ascii="Arial" w:hAnsi="Arial" w:cs="Arial"/>
                <w:sz w:val="20"/>
                <w:szCs w:val="20"/>
                <w:lang w:val="en-NZ"/>
              </w:rPr>
              <w:t>Provide governance oversight for data and information used in advanced analytics and AI</w:t>
            </w:r>
            <w:r w:rsidRPr="009751C9">
              <w:rPr>
                <w:rFonts w:ascii="Arial" w:hAnsi="Arial" w:cs="Arial"/>
                <w:sz w:val="20"/>
                <w:szCs w:val="20"/>
                <w:lang w:val="en-NZ"/>
              </w:rPr>
              <w:noBreakHyphen/>
              <w:t xml:space="preserve">enabled use cases, ensuring transparency, explainability, privacy, and trust. </w:t>
            </w:r>
          </w:p>
          <w:p w14:paraId="1DAA05F5" w14:textId="49CC49ED" w:rsidR="00662326" w:rsidRPr="009751C9" w:rsidRDefault="009751C9" w:rsidP="009751C9">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9751C9">
              <w:rPr>
                <w:rFonts w:ascii="Arial" w:hAnsi="Arial" w:cs="Arial"/>
                <w:sz w:val="20"/>
                <w:szCs w:val="20"/>
                <w:lang w:val="en-NZ"/>
              </w:rPr>
              <w:t>Support alignment with FMG’s approach to responsible AI through clear standards, controls, and assurance.</w:t>
            </w:r>
          </w:p>
        </w:tc>
      </w:tr>
      <w:tr w:rsidR="00611637" w:rsidRPr="00AC3E4C" w14:paraId="2849E615" w14:textId="77777777">
        <w:tc>
          <w:tcPr>
            <w:tcW w:w="2579" w:type="dxa"/>
          </w:tcPr>
          <w:p w14:paraId="6C9656DA" w14:textId="565ADA80" w:rsidR="00611637" w:rsidRDefault="009751C9" w:rsidP="00321414">
            <w:pPr>
              <w:tabs>
                <w:tab w:val="left" w:pos="-720"/>
                <w:tab w:val="left" w:pos="0"/>
                <w:tab w:val="left" w:pos="1440"/>
              </w:tabs>
              <w:suppressAutoHyphens/>
              <w:spacing w:before="60" w:after="60"/>
              <w:rPr>
                <w:rFonts w:ascii="Arial" w:hAnsi="Arial" w:cs="Arial"/>
                <w:color w:val="00703C"/>
                <w:sz w:val="20"/>
                <w:szCs w:val="20"/>
                <w:lang w:val="en-NZ"/>
              </w:rPr>
            </w:pPr>
            <w:r>
              <w:rPr>
                <w:rFonts w:ascii="Arial" w:hAnsi="Arial" w:cs="Arial"/>
                <w:color w:val="00703C"/>
                <w:sz w:val="20"/>
                <w:szCs w:val="20"/>
                <w:lang w:val="en-NZ"/>
              </w:rPr>
              <w:t>Stakeholder Engagement &amp; Advisory</w:t>
            </w:r>
          </w:p>
        </w:tc>
        <w:tc>
          <w:tcPr>
            <w:tcW w:w="7069" w:type="dxa"/>
            <w:shd w:val="clear" w:color="auto" w:fill="FFFFFF"/>
          </w:tcPr>
          <w:p w14:paraId="39DBF979" w14:textId="44875D3D" w:rsidR="001D0AAA" w:rsidRPr="001D0AAA" w:rsidRDefault="001D0AAA" w:rsidP="001D0AAA">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1D0AAA">
              <w:rPr>
                <w:rFonts w:ascii="Arial" w:hAnsi="Arial" w:cs="Arial"/>
                <w:sz w:val="20"/>
                <w:szCs w:val="20"/>
                <w:lang w:val="en-NZ"/>
              </w:rPr>
              <w:t xml:space="preserve">Act as a trusted advisor to business leaders, delivery teams, and product owners on data governance, information management, privacy, and protection matters. </w:t>
            </w:r>
          </w:p>
          <w:p w14:paraId="46FE62DC" w14:textId="4F09B909" w:rsidR="001D0AAA" w:rsidRPr="001D0AAA" w:rsidRDefault="001D0AAA" w:rsidP="001D0AAA">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1D0AAA">
              <w:rPr>
                <w:rFonts w:ascii="Arial" w:hAnsi="Arial" w:cs="Arial"/>
                <w:sz w:val="20"/>
                <w:szCs w:val="20"/>
                <w:lang w:val="en-NZ"/>
              </w:rPr>
              <w:t xml:space="preserve">Work closely with Architecture, Data Engineering, Analytics, Privacy, Risk, Security, and Compliance teams to ensure alignment. </w:t>
            </w:r>
          </w:p>
          <w:p w14:paraId="5E8ED338" w14:textId="1A83E1FA" w:rsidR="00611637" w:rsidRPr="001D0AAA" w:rsidRDefault="001D0AAA" w:rsidP="001D0AAA">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1D0AAA">
              <w:rPr>
                <w:rFonts w:ascii="Arial" w:hAnsi="Arial" w:cs="Arial"/>
                <w:sz w:val="20"/>
                <w:szCs w:val="20"/>
                <w:lang w:val="en-NZ"/>
              </w:rPr>
              <w:t>Facilitate and support governance forums, working groups, and communities of practice as required.</w:t>
            </w:r>
          </w:p>
        </w:tc>
      </w:tr>
      <w:tr w:rsidR="00E20E98" w:rsidRPr="00AC3E4C" w14:paraId="2D2DA460" w14:textId="77777777">
        <w:tc>
          <w:tcPr>
            <w:tcW w:w="2579" w:type="dxa"/>
          </w:tcPr>
          <w:p w14:paraId="1B54F596" w14:textId="73F66EE3" w:rsidR="00E20E98" w:rsidRDefault="00B85441" w:rsidP="00321414">
            <w:pPr>
              <w:tabs>
                <w:tab w:val="left" w:pos="-720"/>
                <w:tab w:val="left" w:pos="0"/>
                <w:tab w:val="left" w:pos="1440"/>
              </w:tabs>
              <w:suppressAutoHyphens/>
              <w:spacing w:before="60" w:after="60"/>
              <w:rPr>
                <w:rFonts w:ascii="Arial" w:hAnsi="Arial" w:cs="Arial"/>
                <w:color w:val="00703C"/>
                <w:sz w:val="20"/>
                <w:szCs w:val="20"/>
                <w:lang w:val="en-NZ"/>
              </w:rPr>
            </w:pPr>
            <w:r>
              <w:rPr>
                <w:rFonts w:ascii="Arial" w:hAnsi="Arial" w:cs="Arial"/>
                <w:color w:val="00703C"/>
                <w:sz w:val="20"/>
                <w:szCs w:val="20"/>
                <w:lang w:val="en-NZ"/>
              </w:rPr>
              <w:t>People Leadership</w:t>
            </w:r>
          </w:p>
        </w:tc>
        <w:tc>
          <w:tcPr>
            <w:tcW w:w="7069" w:type="dxa"/>
            <w:shd w:val="clear" w:color="auto" w:fill="FFFFFF"/>
          </w:tcPr>
          <w:p w14:paraId="509CF784" w14:textId="6ED7288C" w:rsidR="00B85441" w:rsidRPr="00B85441" w:rsidRDefault="00B85441" w:rsidP="00B85441">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B85441">
              <w:rPr>
                <w:rFonts w:ascii="Arial" w:hAnsi="Arial" w:cs="Arial"/>
                <w:sz w:val="20"/>
                <w:szCs w:val="20"/>
                <w:lang w:val="en-NZ"/>
              </w:rPr>
              <w:t xml:space="preserve">Lead, coach, and develop Information Management Analysts and related specialist roles. </w:t>
            </w:r>
          </w:p>
          <w:p w14:paraId="30D0626A" w14:textId="3E595534" w:rsidR="00B85441" w:rsidRPr="00B85441" w:rsidRDefault="00B85441" w:rsidP="00B85441">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B85441">
              <w:rPr>
                <w:rFonts w:ascii="Arial" w:hAnsi="Arial" w:cs="Arial"/>
                <w:sz w:val="20"/>
                <w:szCs w:val="20"/>
                <w:lang w:val="en-NZ"/>
              </w:rPr>
              <w:t>Foster a collaborative, service</w:t>
            </w:r>
            <w:r w:rsidRPr="00B85441">
              <w:rPr>
                <w:rFonts w:ascii="Arial" w:hAnsi="Arial" w:cs="Arial"/>
                <w:sz w:val="20"/>
                <w:szCs w:val="20"/>
                <w:lang w:val="en-NZ"/>
              </w:rPr>
              <w:noBreakHyphen/>
              <w:t xml:space="preserve">oriented culture focused on enablement rather than enforcement. </w:t>
            </w:r>
          </w:p>
          <w:p w14:paraId="255E4945" w14:textId="327BB5C0" w:rsidR="00E20E98" w:rsidRPr="00B85441" w:rsidRDefault="00B85441" w:rsidP="00B85441">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B85441">
              <w:rPr>
                <w:rFonts w:ascii="Arial" w:hAnsi="Arial" w:cs="Arial"/>
                <w:sz w:val="20"/>
                <w:szCs w:val="20"/>
                <w:lang w:val="en-NZ"/>
              </w:rPr>
              <w:t>Build organisational capability through guidance, training, and practical support.</w:t>
            </w:r>
          </w:p>
        </w:tc>
      </w:tr>
      <w:tr w:rsidR="00B85441" w:rsidRPr="00AC3E4C" w14:paraId="205DFE06" w14:textId="77777777">
        <w:tc>
          <w:tcPr>
            <w:tcW w:w="2579" w:type="dxa"/>
          </w:tcPr>
          <w:p w14:paraId="43DB578D" w14:textId="121EBBD8" w:rsidR="00B85441" w:rsidRDefault="00B85441" w:rsidP="00321414">
            <w:pPr>
              <w:tabs>
                <w:tab w:val="left" w:pos="-720"/>
                <w:tab w:val="left" w:pos="0"/>
                <w:tab w:val="left" w:pos="1440"/>
              </w:tabs>
              <w:suppressAutoHyphens/>
              <w:spacing w:before="60" w:after="60"/>
              <w:rPr>
                <w:rFonts w:ascii="Arial" w:hAnsi="Arial" w:cs="Arial"/>
                <w:color w:val="00703C"/>
                <w:sz w:val="20"/>
                <w:szCs w:val="20"/>
                <w:lang w:val="en-NZ"/>
              </w:rPr>
            </w:pPr>
            <w:r>
              <w:rPr>
                <w:rFonts w:ascii="Arial" w:hAnsi="Arial" w:cs="Arial"/>
                <w:color w:val="00703C"/>
                <w:sz w:val="20"/>
                <w:szCs w:val="20"/>
                <w:lang w:val="en-NZ"/>
              </w:rPr>
              <w:lastRenderedPageBreak/>
              <w:t>Ways of Working &amp; Continuous Improvement</w:t>
            </w:r>
          </w:p>
        </w:tc>
        <w:tc>
          <w:tcPr>
            <w:tcW w:w="7069" w:type="dxa"/>
            <w:shd w:val="clear" w:color="auto" w:fill="FFFFFF"/>
          </w:tcPr>
          <w:p w14:paraId="02F492D2" w14:textId="77777777" w:rsidR="003C1311" w:rsidRPr="003C1311" w:rsidRDefault="003C1311" w:rsidP="003C1311">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3C1311">
              <w:rPr>
                <w:rFonts w:ascii="Arial" w:hAnsi="Arial" w:cs="Arial"/>
                <w:sz w:val="20"/>
                <w:szCs w:val="20"/>
                <w:lang w:val="en-NZ"/>
              </w:rPr>
              <w:t>Ensure data governance, information governance, privacy, and protection practices are embedded early in delivery and operational processes.</w:t>
            </w:r>
          </w:p>
          <w:p w14:paraId="1D6E89D3" w14:textId="77777777" w:rsidR="003C1311" w:rsidRDefault="003C1311" w:rsidP="003C1311">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3C1311">
              <w:rPr>
                <w:rFonts w:ascii="Arial" w:hAnsi="Arial" w:cs="Arial"/>
                <w:sz w:val="20"/>
                <w:szCs w:val="20"/>
                <w:lang w:val="en-NZ"/>
              </w:rPr>
              <w:t>Ensure governance foundations support initiatives involving automation, advanced analytics, and AI</w:t>
            </w:r>
            <w:r w:rsidRPr="003C1311">
              <w:rPr>
                <w:rFonts w:ascii="Cambria Math" w:hAnsi="Cambria Math" w:cs="Cambria Math"/>
                <w:sz w:val="20"/>
                <w:szCs w:val="20"/>
                <w:lang w:val="en-NZ"/>
              </w:rPr>
              <w:t>‑</w:t>
            </w:r>
            <w:r w:rsidRPr="003C1311">
              <w:rPr>
                <w:rFonts w:ascii="Arial" w:hAnsi="Arial" w:cs="Arial"/>
                <w:sz w:val="20"/>
                <w:szCs w:val="20"/>
                <w:lang w:val="en-NZ"/>
              </w:rPr>
              <w:t>enabled capabilities.</w:t>
            </w:r>
          </w:p>
          <w:p w14:paraId="50BA911E" w14:textId="5E41CD51" w:rsidR="00B85441" w:rsidRPr="003C1311" w:rsidRDefault="003C1311" w:rsidP="003C1311">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3C1311">
              <w:rPr>
                <w:rFonts w:ascii="Arial" w:hAnsi="Arial" w:cs="Arial"/>
                <w:sz w:val="20"/>
                <w:szCs w:val="20"/>
                <w:lang w:val="en-NZ"/>
              </w:rPr>
              <w:t>Continuously review and improve governance frameworks to ensure they remain proportionate, practical, and fit for purpose.</w:t>
            </w:r>
          </w:p>
        </w:tc>
      </w:tr>
      <w:tr w:rsidR="00B509FE" w:rsidRPr="00AC3E4C" w14:paraId="218E4306" w14:textId="77777777">
        <w:tc>
          <w:tcPr>
            <w:tcW w:w="2579" w:type="dxa"/>
          </w:tcPr>
          <w:p w14:paraId="73015904" w14:textId="76913088" w:rsidR="00B509FE" w:rsidRDefault="00B509FE" w:rsidP="00321414">
            <w:pPr>
              <w:tabs>
                <w:tab w:val="left" w:pos="-720"/>
                <w:tab w:val="left" w:pos="0"/>
                <w:tab w:val="left" w:pos="1440"/>
              </w:tabs>
              <w:suppressAutoHyphens/>
              <w:spacing w:before="60" w:after="60"/>
              <w:rPr>
                <w:rFonts w:ascii="Arial" w:hAnsi="Arial" w:cs="Arial"/>
                <w:color w:val="00703C"/>
                <w:sz w:val="20"/>
                <w:szCs w:val="20"/>
                <w:lang w:val="en-NZ"/>
              </w:rPr>
            </w:pPr>
            <w:r>
              <w:rPr>
                <w:rFonts w:ascii="Arial" w:hAnsi="Arial" w:cs="Arial"/>
                <w:color w:val="00703C"/>
                <w:sz w:val="20"/>
                <w:szCs w:val="20"/>
                <w:lang w:val="en-NZ"/>
              </w:rPr>
              <w:t>Service Mindset</w:t>
            </w:r>
          </w:p>
        </w:tc>
        <w:tc>
          <w:tcPr>
            <w:tcW w:w="7069" w:type="dxa"/>
            <w:shd w:val="clear" w:color="auto" w:fill="FFFFFF"/>
          </w:tcPr>
          <w:p w14:paraId="62709787" w14:textId="7008B580" w:rsidR="003C1311" w:rsidRPr="003C1311" w:rsidRDefault="003C1311" w:rsidP="003C1311">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3C1311">
              <w:rPr>
                <w:rFonts w:ascii="Arial" w:hAnsi="Arial" w:cs="Arial"/>
                <w:sz w:val="20"/>
                <w:szCs w:val="20"/>
                <w:lang w:val="en-NZ"/>
              </w:rPr>
              <w:t xml:space="preserve">Demonstrate a strong service mindset by enabling teams to confidently and safely use data, information, and knowledge. </w:t>
            </w:r>
          </w:p>
          <w:p w14:paraId="1472095C" w14:textId="4619537D" w:rsidR="003C1311" w:rsidRPr="003C1311" w:rsidRDefault="003C1311" w:rsidP="003C1311">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3C1311">
              <w:rPr>
                <w:rFonts w:ascii="Arial" w:hAnsi="Arial" w:cs="Arial"/>
                <w:sz w:val="20"/>
                <w:szCs w:val="20"/>
                <w:lang w:val="en-NZ"/>
              </w:rPr>
              <w:t xml:space="preserve">Balance governance rigor with practicality, ensuring standards protect FMG while supporting delivery. </w:t>
            </w:r>
          </w:p>
          <w:p w14:paraId="15C0D3E9" w14:textId="75124F34" w:rsidR="00B509FE" w:rsidRPr="003C1311" w:rsidRDefault="003C1311" w:rsidP="003C1311">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3C1311">
              <w:rPr>
                <w:rFonts w:ascii="Arial" w:hAnsi="Arial" w:cs="Arial"/>
                <w:sz w:val="20"/>
                <w:szCs w:val="20"/>
                <w:lang w:val="en-NZ"/>
              </w:rPr>
              <w:t>Ensure advice and guidance is timely, clear, and focused on positive outcomes.</w:t>
            </w:r>
          </w:p>
        </w:tc>
      </w:tr>
      <w:tr w:rsidR="009F2255" w:rsidRPr="00AC3E4C" w14:paraId="3E398650" w14:textId="77777777">
        <w:tc>
          <w:tcPr>
            <w:tcW w:w="2579" w:type="dxa"/>
          </w:tcPr>
          <w:p w14:paraId="459BD6F6" w14:textId="4A7E116F" w:rsidR="009F2255" w:rsidRDefault="009F2255" w:rsidP="00321414">
            <w:pPr>
              <w:tabs>
                <w:tab w:val="left" w:pos="-720"/>
                <w:tab w:val="left" w:pos="0"/>
                <w:tab w:val="left" w:pos="1440"/>
              </w:tabs>
              <w:suppressAutoHyphens/>
              <w:spacing w:before="60" w:after="60"/>
              <w:rPr>
                <w:rFonts w:ascii="Arial" w:hAnsi="Arial" w:cs="Arial"/>
                <w:color w:val="00703C"/>
                <w:sz w:val="20"/>
                <w:szCs w:val="20"/>
                <w:lang w:val="en-NZ"/>
              </w:rPr>
            </w:pPr>
            <w:r>
              <w:rPr>
                <w:rFonts w:ascii="Arial" w:hAnsi="Arial" w:cs="Arial"/>
                <w:color w:val="00703C"/>
                <w:sz w:val="20"/>
                <w:szCs w:val="20"/>
                <w:lang w:val="en-NZ"/>
              </w:rPr>
              <w:t>Other Duties</w:t>
            </w:r>
          </w:p>
        </w:tc>
        <w:tc>
          <w:tcPr>
            <w:tcW w:w="7069" w:type="dxa"/>
            <w:shd w:val="clear" w:color="auto" w:fill="FFFFFF"/>
          </w:tcPr>
          <w:p w14:paraId="0692865E" w14:textId="5A7EA7F3" w:rsidR="009F2255" w:rsidRPr="000C7ED7" w:rsidRDefault="000C7ED7" w:rsidP="000C7ED7">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0C7ED7">
              <w:rPr>
                <w:rFonts w:ascii="Arial" w:hAnsi="Arial" w:cs="Arial"/>
                <w:sz w:val="20"/>
                <w:szCs w:val="20"/>
                <w:lang w:val="en-NZ"/>
              </w:rPr>
              <w:t>Undertake other tasks as directed by the Head of Data, Information &amp; Analytics from time to time</w:t>
            </w:r>
          </w:p>
        </w:tc>
      </w:tr>
      <w:tr w:rsidR="000C7ED7" w:rsidRPr="00AC3E4C" w14:paraId="1E64700E" w14:textId="77777777">
        <w:tc>
          <w:tcPr>
            <w:tcW w:w="2579" w:type="dxa"/>
          </w:tcPr>
          <w:p w14:paraId="080EF98C" w14:textId="042E44AB" w:rsidR="000C7ED7" w:rsidRDefault="000C7ED7" w:rsidP="00321414">
            <w:pPr>
              <w:tabs>
                <w:tab w:val="left" w:pos="-720"/>
                <w:tab w:val="left" w:pos="0"/>
                <w:tab w:val="left" w:pos="1440"/>
              </w:tabs>
              <w:suppressAutoHyphens/>
              <w:spacing w:before="60" w:after="60"/>
              <w:rPr>
                <w:rFonts w:ascii="Arial" w:hAnsi="Arial" w:cs="Arial"/>
                <w:color w:val="00703C"/>
                <w:sz w:val="20"/>
                <w:szCs w:val="20"/>
                <w:lang w:val="en-NZ"/>
              </w:rPr>
            </w:pPr>
            <w:r>
              <w:rPr>
                <w:rFonts w:ascii="Arial" w:hAnsi="Arial" w:cs="Arial"/>
                <w:color w:val="00703C"/>
                <w:sz w:val="20"/>
                <w:szCs w:val="20"/>
                <w:lang w:val="en-NZ"/>
              </w:rPr>
              <w:t>Health &amp; Safety</w:t>
            </w:r>
          </w:p>
        </w:tc>
        <w:tc>
          <w:tcPr>
            <w:tcW w:w="7069" w:type="dxa"/>
            <w:shd w:val="clear" w:color="auto" w:fill="FFFFFF"/>
          </w:tcPr>
          <w:p w14:paraId="34DFC44A" w14:textId="4DAF6598" w:rsidR="000C7ED7" w:rsidRPr="000C7ED7" w:rsidRDefault="000C7ED7" w:rsidP="000C7ED7">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0C7ED7">
              <w:rPr>
                <w:rFonts w:ascii="Arial" w:hAnsi="Arial" w:cs="Arial"/>
                <w:sz w:val="20"/>
                <w:szCs w:val="20"/>
                <w:lang w:val="en-NZ"/>
              </w:rPr>
              <w:t xml:space="preserve">Comply with FMG’s safety and wellbeing policies and procedures, including hazard management and incident reporting. </w:t>
            </w:r>
          </w:p>
          <w:p w14:paraId="418820F0" w14:textId="73E57E74" w:rsidR="000C7ED7" w:rsidRPr="000C7ED7" w:rsidRDefault="000C7ED7" w:rsidP="000C7ED7">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0C7ED7">
              <w:rPr>
                <w:rFonts w:ascii="Arial" w:hAnsi="Arial" w:cs="Arial"/>
                <w:sz w:val="20"/>
                <w:szCs w:val="20"/>
                <w:lang w:val="en-NZ"/>
              </w:rPr>
              <w:t>Work in a safe manner at all times and do not undertake activities without appropriate training.</w:t>
            </w:r>
          </w:p>
        </w:tc>
      </w:tr>
    </w:tbl>
    <w:p w14:paraId="2BBE2C6C" w14:textId="09F2A663" w:rsidR="00DA4E57" w:rsidRDefault="00DA4E57" w:rsidP="00B57C5A"/>
    <w:p w14:paraId="39BAF0B2" w14:textId="77777777" w:rsidR="003A367A" w:rsidRPr="005B09D5" w:rsidRDefault="00DA4E57" w:rsidP="00865842">
      <w:pPr>
        <w:pStyle w:val="Heading3"/>
        <w:spacing w:before="0"/>
        <w:rPr>
          <w:sz w:val="24"/>
          <w:szCs w:val="24"/>
        </w:rPr>
      </w:pPr>
      <w:r>
        <w:rPr>
          <w:sz w:val="24"/>
          <w:szCs w:val="24"/>
        </w:rPr>
        <w:br w:type="page"/>
      </w: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7488"/>
        <w:gridCol w:w="2160"/>
      </w:tblGrid>
      <w:tr w:rsidR="003A367A" w:rsidRPr="005B09D5" w14:paraId="39C70D88" w14:textId="77777777" w:rsidTr="005B09D5">
        <w:trPr>
          <w:trHeight w:val="427"/>
        </w:trPr>
        <w:tc>
          <w:tcPr>
            <w:tcW w:w="9648" w:type="dxa"/>
            <w:gridSpan w:val="2"/>
            <w:shd w:val="clear" w:color="auto" w:fill="00703C"/>
            <w:vAlign w:val="center"/>
          </w:tcPr>
          <w:p w14:paraId="53B09EC0" w14:textId="77777777" w:rsidR="003A367A" w:rsidRPr="005B09D5" w:rsidRDefault="005B09D5" w:rsidP="005B09D5">
            <w:pPr>
              <w:jc w:val="center"/>
              <w:rPr>
                <w:rFonts w:ascii="Arial" w:hAnsi="Arial" w:cs="Arial"/>
                <w:b/>
                <w:color w:val="FFFFFF"/>
                <w:sz w:val="22"/>
                <w:szCs w:val="22"/>
              </w:rPr>
            </w:pPr>
            <w:r w:rsidRPr="005B09D5">
              <w:rPr>
                <w:rFonts w:ascii="Arial" w:hAnsi="Arial" w:cs="Arial"/>
                <w:b/>
                <w:bCs/>
                <w:color w:val="FFFFFF"/>
                <w:sz w:val="22"/>
                <w:szCs w:val="22"/>
              </w:rPr>
              <w:t>COMPETENCIES</w:t>
            </w:r>
          </w:p>
        </w:tc>
      </w:tr>
      <w:tr w:rsidR="003A367A" w:rsidRPr="005B09D5" w14:paraId="007C850C" w14:textId="77777777" w:rsidTr="00865842">
        <w:trPr>
          <w:trHeight w:val="685"/>
        </w:trPr>
        <w:tc>
          <w:tcPr>
            <w:tcW w:w="7488" w:type="dxa"/>
            <w:vAlign w:val="center"/>
          </w:tcPr>
          <w:p w14:paraId="245EF5D2" w14:textId="77777777" w:rsidR="003A367A" w:rsidRPr="005B09D5" w:rsidRDefault="003A367A" w:rsidP="00B76DF0">
            <w:pPr>
              <w:jc w:val="both"/>
              <w:rPr>
                <w:rFonts w:ascii="Arial" w:hAnsi="Arial" w:cs="Arial"/>
                <w:i/>
                <w:iCs/>
                <w:color w:val="808080"/>
                <w:sz w:val="20"/>
                <w:szCs w:val="20"/>
                <w:lang w:val="en-NZ"/>
              </w:rPr>
            </w:pPr>
            <w:r w:rsidRPr="005B09D5">
              <w:rPr>
                <w:rFonts w:ascii="Arial" w:hAnsi="Arial" w:cs="Arial"/>
                <w:i/>
                <w:iCs/>
                <w:color w:val="808080"/>
                <w:sz w:val="20"/>
                <w:szCs w:val="20"/>
                <w:lang w:val="en-NZ"/>
              </w:rPr>
              <w:t>*see competency framework for behaviours expected at each level</w:t>
            </w:r>
          </w:p>
        </w:tc>
        <w:tc>
          <w:tcPr>
            <w:tcW w:w="2160" w:type="dxa"/>
            <w:vAlign w:val="center"/>
          </w:tcPr>
          <w:p w14:paraId="6A0943D7" w14:textId="77777777" w:rsidR="003A367A" w:rsidRPr="005B09D5" w:rsidRDefault="003A367A" w:rsidP="00B76DF0">
            <w:pPr>
              <w:spacing w:after="120"/>
              <w:jc w:val="center"/>
              <w:rPr>
                <w:rFonts w:ascii="Arial" w:hAnsi="Arial" w:cs="Arial"/>
                <w:bCs/>
                <w:i/>
                <w:iCs/>
                <w:color w:val="808080"/>
                <w:sz w:val="20"/>
                <w:szCs w:val="20"/>
              </w:rPr>
            </w:pPr>
            <w:r w:rsidRPr="005B09D5">
              <w:rPr>
                <w:rFonts w:ascii="Arial" w:hAnsi="Arial" w:cs="Arial"/>
                <w:bCs/>
                <w:i/>
                <w:iCs/>
                <w:color w:val="808080"/>
                <w:sz w:val="20"/>
                <w:szCs w:val="20"/>
              </w:rPr>
              <w:t>Expected Level</w:t>
            </w:r>
          </w:p>
        </w:tc>
      </w:tr>
      <w:tr w:rsidR="003A367A" w:rsidRPr="005B09D5" w14:paraId="12B2A1DC" w14:textId="77777777" w:rsidTr="00865842">
        <w:trPr>
          <w:trHeight w:val="1234"/>
        </w:trPr>
        <w:tc>
          <w:tcPr>
            <w:tcW w:w="7488" w:type="dxa"/>
            <w:vAlign w:val="center"/>
          </w:tcPr>
          <w:p w14:paraId="4408CD17" w14:textId="77777777" w:rsidR="003A367A" w:rsidRPr="005B09D5" w:rsidRDefault="003A367A" w:rsidP="00B76DF0">
            <w:pPr>
              <w:spacing w:before="120" w:after="120"/>
              <w:rPr>
                <w:rFonts w:ascii="Arial" w:hAnsi="Arial" w:cs="Arial"/>
                <w:b/>
                <w:color w:val="00703C"/>
                <w:sz w:val="20"/>
                <w:szCs w:val="20"/>
                <w:lang w:bidi="en-US"/>
              </w:rPr>
            </w:pPr>
            <w:r w:rsidRPr="005B09D5">
              <w:rPr>
                <w:rFonts w:ascii="Arial" w:hAnsi="Arial" w:cs="Arial"/>
                <w:b/>
                <w:color w:val="00703C"/>
                <w:sz w:val="20"/>
                <w:szCs w:val="20"/>
                <w:lang w:bidi="en-US"/>
              </w:rPr>
              <w:t>Customer Driven (Internal &amp; External)</w:t>
            </w:r>
          </w:p>
          <w:p w14:paraId="20B0B9E2" w14:textId="77777777" w:rsidR="003A367A" w:rsidRPr="005B09D5" w:rsidRDefault="003A367A" w:rsidP="00B76DF0">
            <w:pPr>
              <w:spacing w:after="120"/>
              <w:rPr>
                <w:rFonts w:ascii="Arial" w:hAnsi="Arial" w:cs="Arial"/>
                <w:sz w:val="20"/>
                <w:szCs w:val="20"/>
                <w:lang w:bidi="en-US"/>
              </w:rPr>
            </w:pPr>
            <w:r w:rsidRPr="005B09D5">
              <w:rPr>
                <w:rFonts w:ascii="Arial" w:hAnsi="Arial" w:cs="Arial"/>
                <w:bCs/>
                <w:sz w:val="20"/>
                <w:szCs w:val="20"/>
                <w:lang w:val="en-NZ" w:bidi="en-US"/>
              </w:rPr>
              <w:t>A commitment to understanding the needs and best interests of both internal and external customers, in order to provide them with outstanding customer service and help them to make informed decisions.</w:t>
            </w:r>
          </w:p>
        </w:tc>
        <w:tc>
          <w:tcPr>
            <w:tcW w:w="2160" w:type="dxa"/>
            <w:vAlign w:val="center"/>
          </w:tcPr>
          <w:p w14:paraId="36D7DFD4" w14:textId="77777777" w:rsidR="003A367A" w:rsidRPr="005B09D5" w:rsidRDefault="006F19CA" w:rsidP="00B76DF0">
            <w:pPr>
              <w:spacing w:after="120"/>
              <w:ind w:left="357"/>
              <w:rPr>
                <w:rFonts w:ascii="Arial" w:hAnsi="Arial" w:cs="Arial"/>
                <w:sz w:val="20"/>
                <w:szCs w:val="20"/>
              </w:rPr>
            </w:pPr>
            <w:r w:rsidRPr="005B09D5">
              <w:rPr>
                <w:rFonts w:ascii="Arial" w:hAnsi="Arial" w:cs="Arial"/>
                <w:sz w:val="20"/>
                <w:szCs w:val="20"/>
              </w:rPr>
              <w:t>Advanced</w:t>
            </w:r>
            <w:r w:rsidR="003A367A" w:rsidRPr="005B09D5">
              <w:rPr>
                <w:rFonts w:ascii="Arial" w:hAnsi="Arial" w:cs="Arial"/>
                <w:sz w:val="20"/>
                <w:szCs w:val="20"/>
              </w:rPr>
              <w:t>*</w:t>
            </w:r>
          </w:p>
        </w:tc>
      </w:tr>
      <w:tr w:rsidR="003A367A" w:rsidRPr="005B09D5" w14:paraId="74298F7D" w14:textId="77777777" w:rsidTr="00865842">
        <w:trPr>
          <w:trHeight w:val="1340"/>
        </w:trPr>
        <w:tc>
          <w:tcPr>
            <w:tcW w:w="7488" w:type="dxa"/>
            <w:vAlign w:val="center"/>
          </w:tcPr>
          <w:p w14:paraId="69F8203A" w14:textId="77777777" w:rsidR="003A367A" w:rsidRPr="005B09D5" w:rsidRDefault="003A367A" w:rsidP="00B76DF0">
            <w:pPr>
              <w:spacing w:before="120" w:after="120"/>
              <w:rPr>
                <w:rFonts w:ascii="Arial" w:hAnsi="Arial" w:cs="Arial"/>
                <w:b/>
                <w:color w:val="00703C"/>
                <w:sz w:val="20"/>
                <w:szCs w:val="20"/>
              </w:rPr>
            </w:pPr>
            <w:r w:rsidRPr="005B09D5">
              <w:rPr>
                <w:rFonts w:ascii="Arial" w:hAnsi="Arial" w:cs="Arial"/>
                <w:b/>
                <w:color w:val="00703C"/>
                <w:sz w:val="20"/>
                <w:szCs w:val="20"/>
              </w:rPr>
              <w:t>Accountability</w:t>
            </w:r>
          </w:p>
          <w:p w14:paraId="6EF950D2" w14:textId="77777777" w:rsidR="003A367A" w:rsidRPr="005B09D5" w:rsidRDefault="003A367A" w:rsidP="00B76DF0">
            <w:pPr>
              <w:spacing w:after="120"/>
              <w:rPr>
                <w:rFonts w:ascii="Arial" w:hAnsi="Arial" w:cs="Arial"/>
                <w:sz w:val="20"/>
                <w:szCs w:val="20"/>
              </w:rPr>
            </w:pPr>
            <w:r w:rsidRPr="005B09D5">
              <w:rPr>
                <w:rFonts w:ascii="Arial" w:hAnsi="Arial" w:cs="Arial"/>
                <w:bCs/>
                <w:sz w:val="20"/>
                <w:szCs w:val="20"/>
                <w:lang w:val="en-NZ"/>
              </w:rPr>
              <w:t xml:space="preserve">Taking personal ownership of decisions, behaviour, and development, and being responsible for how these actions impact on the wider organisation and customers.  </w:t>
            </w:r>
          </w:p>
        </w:tc>
        <w:tc>
          <w:tcPr>
            <w:tcW w:w="2160" w:type="dxa"/>
            <w:vAlign w:val="center"/>
          </w:tcPr>
          <w:p w14:paraId="6D9E7CE0" w14:textId="77777777" w:rsidR="003A367A" w:rsidRPr="005B09D5" w:rsidRDefault="006F19CA" w:rsidP="00B76DF0">
            <w:pPr>
              <w:spacing w:after="120"/>
              <w:ind w:left="357"/>
              <w:jc w:val="both"/>
              <w:rPr>
                <w:rFonts w:ascii="Arial" w:hAnsi="Arial" w:cs="Arial"/>
                <w:sz w:val="20"/>
                <w:szCs w:val="20"/>
              </w:rPr>
            </w:pPr>
            <w:r w:rsidRPr="005B09D5">
              <w:rPr>
                <w:rFonts w:ascii="Arial" w:hAnsi="Arial" w:cs="Arial"/>
                <w:sz w:val="20"/>
                <w:szCs w:val="20"/>
              </w:rPr>
              <w:t>Advanced</w:t>
            </w:r>
            <w:r w:rsidR="003A367A" w:rsidRPr="005B09D5">
              <w:rPr>
                <w:rFonts w:ascii="Arial" w:hAnsi="Arial" w:cs="Arial"/>
                <w:sz w:val="20"/>
                <w:szCs w:val="20"/>
              </w:rPr>
              <w:t>*</w:t>
            </w:r>
          </w:p>
        </w:tc>
      </w:tr>
      <w:tr w:rsidR="003A367A" w:rsidRPr="005B09D5" w14:paraId="24ABF11F" w14:textId="77777777" w:rsidTr="00865842">
        <w:trPr>
          <w:trHeight w:val="1102"/>
        </w:trPr>
        <w:tc>
          <w:tcPr>
            <w:tcW w:w="7488" w:type="dxa"/>
            <w:vAlign w:val="center"/>
          </w:tcPr>
          <w:p w14:paraId="7972A0D3" w14:textId="77777777" w:rsidR="003A367A" w:rsidRPr="005B09D5" w:rsidRDefault="003A367A" w:rsidP="00B76DF0">
            <w:pPr>
              <w:spacing w:before="120" w:after="120"/>
              <w:rPr>
                <w:rFonts w:ascii="Arial" w:hAnsi="Arial" w:cs="Arial"/>
                <w:b/>
                <w:color w:val="00703C"/>
                <w:sz w:val="20"/>
                <w:szCs w:val="20"/>
              </w:rPr>
            </w:pPr>
            <w:r w:rsidRPr="005B09D5">
              <w:rPr>
                <w:rFonts w:ascii="Arial" w:hAnsi="Arial" w:cs="Arial"/>
                <w:b/>
                <w:color w:val="00703C"/>
                <w:sz w:val="20"/>
                <w:szCs w:val="20"/>
              </w:rPr>
              <w:t>Adaptability</w:t>
            </w:r>
          </w:p>
          <w:p w14:paraId="3D90A694" w14:textId="77777777" w:rsidR="003A367A" w:rsidRPr="005B09D5" w:rsidRDefault="003A367A" w:rsidP="00B76DF0">
            <w:pPr>
              <w:spacing w:after="120"/>
              <w:rPr>
                <w:rFonts w:ascii="Arial" w:hAnsi="Arial" w:cs="Arial"/>
                <w:sz w:val="20"/>
                <w:szCs w:val="20"/>
              </w:rPr>
            </w:pPr>
            <w:r w:rsidRPr="005B09D5">
              <w:rPr>
                <w:rFonts w:ascii="Arial" w:hAnsi="Arial" w:cs="Arial"/>
                <w:bCs/>
                <w:sz w:val="20"/>
                <w:szCs w:val="20"/>
                <w:lang w:val="en-NZ"/>
              </w:rPr>
              <w:t>Demonstrating a willingness to engage in a changing environment and being flexible and comfortable working with change.</w:t>
            </w:r>
          </w:p>
        </w:tc>
        <w:tc>
          <w:tcPr>
            <w:tcW w:w="2160" w:type="dxa"/>
            <w:vAlign w:val="center"/>
          </w:tcPr>
          <w:p w14:paraId="71535334" w14:textId="77777777" w:rsidR="003A367A" w:rsidRPr="005B09D5" w:rsidRDefault="005424FA" w:rsidP="00B76DF0">
            <w:pPr>
              <w:spacing w:after="120"/>
              <w:ind w:left="357"/>
              <w:jc w:val="both"/>
              <w:rPr>
                <w:rFonts w:ascii="Arial" w:hAnsi="Arial" w:cs="Arial"/>
                <w:sz w:val="20"/>
                <w:szCs w:val="20"/>
              </w:rPr>
            </w:pPr>
            <w:r w:rsidRPr="005B09D5">
              <w:rPr>
                <w:rFonts w:ascii="Arial" w:hAnsi="Arial" w:cs="Arial"/>
                <w:sz w:val="20"/>
                <w:szCs w:val="20"/>
              </w:rPr>
              <w:t>Advanced</w:t>
            </w:r>
            <w:r w:rsidR="003A367A" w:rsidRPr="005B09D5">
              <w:rPr>
                <w:rFonts w:ascii="Arial" w:hAnsi="Arial" w:cs="Arial"/>
                <w:sz w:val="20"/>
                <w:szCs w:val="20"/>
              </w:rPr>
              <w:t>*</w:t>
            </w:r>
          </w:p>
        </w:tc>
      </w:tr>
      <w:tr w:rsidR="003A367A" w:rsidRPr="005B09D5" w14:paraId="7E900CA3" w14:textId="77777777" w:rsidTr="00865842">
        <w:trPr>
          <w:trHeight w:val="919"/>
        </w:trPr>
        <w:tc>
          <w:tcPr>
            <w:tcW w:w="7488" w:type="dxa"/>
            <w:vAlign w:val="center"/>
          </w:tcPr>
          <w:p w14:paraId="734DF638" w14:textId="77777777" w:rsidR="003A367A" w:rsidRPr="005B09D5" w:rsidRDefault="003A367A" w:rsidP="00B76DF0">
            <w:pPr>
              <w:spacing w:before="120" w:after="120"/>
              <w:rPr>
                <w:rFonts w:ascii="Arial" w:hAnsi="Arial" w:cs="Arial"/>
                <w:b/>
                <w:color w:val="00703C"/>
                <w:sz w:val="20"/>
                <w:szCs w:val="20"/>
              </w:rPr>
            </w:pPr>
            <w:r w:rsidRPr="005B09D5">
              <w:rPr>
                <w:rFonts w:ascii="Arial" w:hAnsi="Arial" w:cs="Arial"/>
                <w:b/>
                <w:color w:val="00703C"/>
                <w:sz w:val="20"/>
                <w:szCs w:val="20"/>
              </w:rPr>
              <w:t>Motivation and Drive</w:t>
            </w:r>
          </w:p>
          <w:p w14:paraId="10EBB8E2" w14:textId="77777777" w:rsidR="003A367A" w:rsidRPr="005B09D5" w:rsidRDefault="003A367A" w:rsidP="00B76DF0">
            <w:pPr>
              <w:spacing w:after="120"/>
              <w:rPr>
                <w:rFonts w:ascii="Arial" w:hAnsi="Arial" w:cs="Arial"/>
                <w:sz w:val="20"/>
                <w:szCs w:val="20"/>
              </w:rPr>
            </w:pPr>
            <w:r w:rsidRPr="005B09D5">
              <w:rPr>
                <w:rFonts w:ascii="Arial" w:hAnsi="Arial" w:cs="Arial"/>
                <w:bCs/>
                <w:sz w:val="20"/>
                <w:szCs w:val="20"/>
                <w:lang w:val="en-NZ"/>
              </w:rPr>
              <w:t>The determination to achieve goals and strive for excellence.</w:t>
            </w:r>
          </w:p>
        </w:tc>
        <w:tc>
          <w:tcPr>
            <w:tcW w:w="2160" w:type="dxa"/>
            <w:vAlign w:val="center"/>
          </w:tcPr>
          <w:p w14:paraId="3E20775D" w14:textId="77777777" w:rsidR="003A367A" w:rsidRPr="005B09D5" w:rsidRDefault="003A367A" w:rsidP="00B76DF0">
            <w:pPr>
              <w:spacing w:after="120"/>
              <w:ind w:left="357"/>
              <w:jc w:val="both"/>
              <w:rPr>
                <w:rFonts w:ascii="Arial" w:hAnsi="Arial" w:cs="Arial"/>
                <w:sz w:val="20"/>
                <w:szCs w:val="20"/>
              </w:rPr>
            </w:pPr>
            <w:r w:rsidRPr="005B09D5">
              <w:rPr>
                <w:rFonts w:ascii="Arial" w:hAnsi="Arial" w:cs="Arial"/>
                <w:sz w:val="20"/>
                <w:szCs w:val="20"/>
              </w:rPr>
              <w:t>Intermediate*</w:t>
            </w:r>
          </w:p>
        </w:tc>
      </w:tr>
      <w:tr w:rsidR="003A367A" w:rsidRPr="005B09D5" w14:paraId="7D47C390" w14:textId="77777777" w:rsidTr="00865842">
        <w:trPr>
          <w:trHeight w:val="1050"/>
        </w:trPr>
        <w:tc>
          <w:tcPr>
            <w:tcW w:w="7488" w:type="dxa"/>
            <w:vAlign w:val="center"/>
          </w:tcPr>
          <w:p w14:paraId="7741D1F5" w14:textId="77777777" w:rsidR="003A367A" w:rsidRPr="005B09D5" w:rsidRDefault="003A367A" w:rsidP="00B76DF0">
            <w:pPr>
              <w:spacing w:before="120" w:after="120"/>
              <w:rPr>
                <w:rFonts w:ascii="Arial" w:hAnsi="Arial" w:cs="Arial"/>
                <w:b/>
                <w:color w:val="00703C"/>
                <w:sz w:val="20"/>
                <w:szCs w:val="20"/>
              </w:rPr>
            </w:pPr>
            <w:smartTag w:uri="urn:schemas-microsoft-com:office:smarttags" w:element="place">
              <w:smartTag w:uri="urn:schemas-microsoft-com:office:smarttags" w:element="PlaceName">
                <w:r w:rsidRPr="005B09D5">
                  <w:rPr>
                    <w:rFonts w:ascii="Arial" w:hAnsi="Arial" w:cs="Arial"/>
                    <w:b/>
                    <w:color w:val="00703C"/>
                    <w:sz w:val="20"/>
                    <w:szCs w:val="20"/>
                  </w:rPr>
                  <w:t>Relationship</w:t>
                </w:r>
              </w:smartTag>
              <w:r w:rsidRPr="005B09D5">
                <w:rPr>
                  <w:rFonts w:ascii="Arial" w:hAnsi="Arial" w:cs="Arial"/>
                  <w:b/>
                  <w:color w:val="00703C"/>
                  <w:sz w:val="20"/>
                  <w:szCs w:val="20"/>
                </w:rPr>
                <w:t xml:space="preserve"> </w:t>
              </w:r>
              <w:smartTag w:uri="urn:schemas-microsoft-com:office:smarttags" w:element="PlaceType">
                <w:r w:rsidRPr="005B09D5">
                  <w:rPr>
                    <w:rFonts w:ascii="Arial" w:hAnsi="Arial" w:cs="Arial"/>
                    <w:b/>
                    <w:color w:val="00703C"/>
                    <w:sz w:val="20"/>
                    <w:szCs w:val="20"/>
                  </w:rPr>
                  <w:t>Building</w:t>
                </w:r>
              </w:smartTag>
            </w:smartTag>
          </w:p>
          <w:p w14:paraId="332090E0" w14:textId="77777777" w:rsidR="003A367A" w:rsidRPr="005B09D5" w:rsidRDefault="003A367A" w:rsidP="00B76DF0">
            <w:pPr>
              <w:spacing w:after="120"/>
              <w:rPr>
                <w:rFonts w:ascii="Arial" w:hAnsi="Arial" w:cs="Arial"/>
                <w:sz w:val="20"/>
                <w:szCs w:val="20"/>
              </w:rPr>
            </w:pPr>
            <w:r w:rsidRPr="005B09D5">
              <w:rPr>
                <w:rFonts w:ascii="Arial" w:hAnsi="Arial" w:cs="Arial"/>
                <w:bCs/>
                <w:sz w:val="20"/>
                <w:szCs w:val="20"/>
                <w:lang w:val="en-NZ"/>
              </w:rPr>
              <w:t>Developing and maintaining positive, professional relationships that are built on mutual trust and respect.</w:t>
            </w:r>
          </w:p>
        </w:tc>
        <w:tc>
          <w:tcPr>
            <w:tcW w:w="2160" w:type="dxa"/>
            <w:vAlign w:val="center"/>
          </w:tcPr>
          <w:p w14:paraId="0362B85F" w14:textId="6A32722B" w:rsidR="003A367A" w:rsidRPr="005B09D5" w:rsidRDefault="00C9556E" w:rsidP="00B76DF0">
            <w:pPr>
              <w:spacing w:after="120"/>
              <w:ind w:left="357"/>
              <w:rPr>
                <w:rFonts w:ascii="Arial" w:hAnsi="Arial" w:cs="Arial"/>
                <w:sz w:val="20"/>
                <w:szCs w:val="20"/>
              </w:rPr>
            </w:pPr>
            <w:r>
              <w:rPr>
                <w:rFonts w:ascii="Arial" w:hAnsi="Arial" w:cs="Arial"/>
                <w:sz w:val="20"/>
                <w:szCs w:val="20"/>
              </w:rPr>
              <w:t>Advanced</w:t>
            </w:r>
            <w:r w:rsidR="003A367A" w:rsidRPr="005B09D5">
              <w:rPr>
                <w:rFonts w:ascii="Arial" w:hAnsi="Arial" w:cs="Arial"/>
                <w:sz w:val="20"/>
                <w:szCs w:val="20"/>
              </w:rPr>
              <w:t>*</w:t>
            </w:r>
          </w:p>
        </w:tc>
      </w:tr>
      <w:tr w:rsidR="00A1213B" w:rsidRPr="005B09D5" w14:paraId="66BA2684" w14:textId="77777777" w:rsidTr="00865842">
        <w:trPr>
          <w:trHeight w:val="1050"/>
        </w:trPr>
        <w:tc>
          <w:tcPr>
            <w:tcW w:w="7488" w:type="dxa"/>
            <w:vAlign w:val="center"/>
          </w:tcPr>
          <w:p w14:paraId="45266E36" w14:textId="77777777" w:rsidR="00A1213B" w:rsidRPr="005B09D5" w:rsidRDefault="00A1213B" w:rsidP="00B76DF0">
            <w:pPr>
              <w:spacing w:before="120" w:after="120"/>
              <w:rPr>
                <w:rFonts w:ascii="Arial" w:hAnsi="Arial" w:cs="Arial"/>
                <w:b/>
                <w:color w:val="00703C"/>
                <w:sz w:val="20"/>
                <w:szCs w:val="20"/>
              </w:rPr>
            </w:pPr>
            <w:r w:rsidRPr="005B09D5">
              <w:rPr>
                <w:rFonts w:ascii="Arial" w:hAnsi="Arial" w:cs="Arial"/>
                <w:b/>
                <w:color w:val="00703C"/>
                <w:sz w:val="20"/>
                <w:szCs w:val="20"/>
              </w:rPr>
              <w:t>Team Work</w:t>
            </w:r>
          </w:p>
          <w:p w14:paraId="6E5EF40B" w14:textId="77777777" w:rsidR="00A1213B" w:rsidRPr="005B09D5" w:rsidRDefault="00A1213B" w:rsidP="00B76DF0">
            <w:pPr>
              <w:spacing w:before="120" w:after="120"/>
              <w:rPr>
                <w:rFonts w:ascii="Arial" w:hAnsi="Arial" w:cs="Arial"/>
                <w:b/>
                <w:color w:val="008000"/>
                <w:sz w:val="20"/>
                <w:szCs w:val="20"/>
              </w:rPr>
            </w:pPr>
            <w:r w:rsidRPr="005B09D5">
              <w:rPr>
                <w:rFonts w:ascii="Arial" w:hAnsi="Arial" w:cs="Arial"/>
                <w:bCs/>
                <w:sz w:val="20"/>
                <w:szCs w:val="20"/>
                <w:lang w:val="en-NZ"/>
              </w:rPr>
              <w:t>Making a positive contribution to the FMG team and collaborating effectively with others to achieve objectives.</w:t>
            </w:r>
          </w:p>
        </w:tc>
        <w:tc>
          <w:tcPr>
            <w:tcW w:w="2160" w:type="dxa"/>
            <w:vAlign w:val="center"/>
          </w:tcPr>
          <w:p w14:paraId="4BC52F73" w14:textId="77777777" w:rsidR="00A1213B" w:rsidRPr="005B09D5" w:rsidRDefault="005424FA" w:rsidP="00B76DF0">
            <w:pPr>
              <w:spacing w:after="120"/>
              <w:ind w:left="357"/>
              <w:rPr>
                <w:rFonts w:ascii="Arial" w:hAnsi="Arial" w:cs="Arial"/>
                <w:sz w:val="20"/>
                <w:szCs w:val="20"/>
              </w:rPr>
            </w:pPr>
            <w:r w:rsidRPr="005B09D5">
              <w:rPr>
                <w:rFonts w:ascii="Arial" w:hAnsi="Arial" w:cs="Arial"/>
                <w:sz w:val="20"/>
                <w:szCs w:val="20"/>
              </w:rPr>
              <w:t>Advanced</w:t>
            </w:r>
            <w:r w:rsidR="00A1213B" w:rsidRPr="005B09D5">
              <w:rPr>
                <w:rFonts w:ascii="Arial" w:hAnsi="Arial" w:cs="Arial"/>
                <w:sz w:val="20"/>
                <w:szCs w:val="20"/>
              </w:rPr>
              <w:t>*</w:t>
            </w:r>
          </w:p>
        </w:tc>
      </w:tr>
      <w:tr w:rsidR="005424FA" w:rsidRPr="005B09D5" w14:paraId="5DCF7B5B" w14:textId="77777777" w:rsidTr="00865842">
        <w:trPr>
          <w:trHeight w:val="1050"/>
        </w:trPr>
        <w:tc>
          <w:tcPr>
            <w:tcW w:w="7488" w:type="dxa"/>
            <w:vAlign w:val="center"/>
          </w:tcPr>
          <w:p w14:paraId="0E648AB2" w14:textId="77777777" w:rsidR="005424FA" w:rsidRPr="005B09D5" w:rsidRDefault="006F19CA" w:rsidP="00B76DF0">
            <w:pPr>
              <w:spacing w:before="120" w:after="120"/>
              <w:rPr>
                <w:rFonts w:ascii="Arial" w:hAnsi="Arial" w:cs="Arial"/>
                <w:b/>
                <w:color w:val="00703C"/>
                <w:sz w:val="20"/>
                <w:szCs w:val="20"/>
              </w:rPr>
            </w:pPr>
            <w:r w:rsidRPr="005B09D5">
              <w:rPr>
                <w:rFonts w:ascii="Arial" w:hAnsi="Arial" w:cs="Arial"/>
                <w:b/>
                <w:color w:val="00703C"/>
                <w:sz w:val="20"/>
                <w:szCs w:val="20"/>
              </w:rPr>
              <w:t>Critical Analysis</w:t>
            </w:r>
          </w:p>
          <w:p w14:paraId="422981FD" w14:textId="77777777" w:rsidR="005424FA" w:rsidRPr="005B09D5" w:rsidRDefault="006F19CA" w:rsidP="00B76DF0">
            <w:pPr>
              <w:spacing w:before="120" w:after="120"/>
              <w:rPr>
                <w:rFonts w:ascii="Arial" w:hAnsi="Arial" w:cs="Arial"/>
                <w:b/>
                <w:color w:val="008000"/>
                <w:sz w:val="20"/>
                <w:szCs w:val="20"/>
              </w:rPr>
            </w:pPr>
            <w:r w:rsidRPr="005B09D5">
              <w:rPr>
                <w:rFonts w:ascii="Arial" w:hAnsi="Arial" w:cs="Arial"/>
                <w:bCs/>
                <w:sz w:val="20"/>
                <w:szCs w:val="20"/>
                <w:lang w:val="en-NZ"/>
              </w:rPr>
              <w:t>The capability to identify key issues, trends, or important facts from information and to question and probe.</w:t>
            </w:r>
          </w:p>
        </w:tc>
        <w:tc>
          <w:tcPr>
            <w:tcW w:w="2160" w:type="dxa"/>
            <w:vAlign w:val="center"/>
          </w:tcPr>
          <w:p w14:paraId="4D6CB102" w14:textId="77777777" w:rsidR="005424FA" w:rsidRPr="005B09D5" w:rsidRDefault="005424FA" w:rsidP="00B76DF0">
            <w:pPr>
              <w:spacing w:after="120"/>
              <w:ind w:left="357"/>
              <w:rPr>
                <w:rFonts w:ascii="Arial" w:hAnsi="Arial" w:cs="Arial"/>
                <w:sz w:val="20"/>
                <w:szCs w:val="20"/>
              </w:rPr>
            </w:pPr>
            <w:r w:rsidRPr="005B09D5">
              <w:rPr>
                <w:rFonts w:ascii="Arial" w:hAnsi="Arial" w:cs="Arial"/>
                <w:sz w:val="20"/>
                <w:szCs w:val="20"/>
              </w:rPr>
              <w:t>Advanced*</w:t>
            </w:r>
          </w:p>
        </w:tc>
      </w:tr>
      <w:tr w:rsidR="005424FA" w:rsidRPr="005B09D5" w14:paraId="322B5D53" w14:textId="77777777" w:rsidTr="00865842">
        <w:trPr>
          <w:trHeight w:val="1050"/>
        </w:trPr>
        <w:tc>
          <w:tcPr>
            <w:tcW w:w="7488" w:type="dxa"/>
            <w:vAlign w:val="center"/>
          </w:tcPr>
          <w:p w14:paraId="7BBC45E5" w14:textId="77777777" w:rsidR="005424FA" w:rsidRPr="005B09D5" w:rsidRDefault="005424FA" w:rsidP="005424FA">
            <w:pPr>
              <w:spacing w:before="120" w:after="120"/>
              <w:rPr>
                <w:rFonts w:ascii="Arial" w:hAnsi="Arial" w:cs="Arial"/>
                <w:b/>
                <w:color w:val="00703C"/>
                <w:sz w:val="20"/>
                <w:szCs w:val="20"/>
              </w:rPr>
            </w:pPr>
            <w:r w:rsidRPr="005B09D5">
              <w:rPr>
                <w:rFonts w:ascii="Arial" w:hAnsi="Arial" w:cs="Arial"/>
                <w:b/>
                <w:color w:val="00703C"/>
                <w:sz w:val="20"/>
                <w:szCs w:val="20"/>
              </w:rPr>
              <w:t>Motivating and Developing Others</w:t>
            </w:r>
          </w:p>
          <w:p w14:paraId="00D25B5B" w14:textId="77777777" w:rsidR="005424FA" w:rsidRPr="005B09D5" w:rsidRDefault="005424FA" w:rsidP="005424FA">
            <w:pPr>
              <w:spacing w:before="120" w:after="120"/>
              <w:rPr>
                <w:rFonts w:ascii="Arial" w:hAnsi="Arial" w:cs="Arial"/>
                <w:b/>
                <w:color w:val="008000"/>
                <w:sz w:val="20"/>
                <w:szCs w:val="20"/>
              </w:rPr>
            </w:pPr>
            <w:r w:rsidRPr="005B09D5">
              <w:rPr>
                <w:rFonts w:ascii="Arial" w:hAnsi="Arial" w:cs="Arial"/>
                <w:bCs/>
                <w:sz w:val="20"/>
                <w:szCs w:val="20"/>
                <w:lang w:val="en-NZ"/>
              </w:rPr>
              <w:t>A commitment to getting the best out of people and motivating them to reach their full potential.</w:t>
            </w:r>
          </w:p>
        </w:tc>
        <w:tc>
          <w:tcPr>
            <w:tcW w:w="2160" w:type="dxa"/>
            <w:vAlign w:val="center"/>
          </w:tcPr>
          <w:p w14:paraId="21075A99" w14:textId="77777777" w:rsidR="005424FA" w:rsidRPr="005B09D5" w:rsidRDefault="004A7D21" w:rsidP="005424FA">
            <w:pPr>
              <w:spacing w:after="120"/>
              <w:ind w:left="357"/>
              <w:rPr>
                <w:rFonts w:ascii="Arial" w:hAnsi="Arial" w:cs="Arial"/>
                <w:sz w:val="20"/>
                <w:szCs w:val="20"/>
              </w:rPr>
            </w:pPr>
            <w:r w:rsidRPr="005B09D5">
              <w:rPr>
                <w:rFonts w:ascii="Arial" w:hAnsi="Arial" w:cs="Arial"/>
                <w:sz w:val="20"/>
                <w:szCs w:val="20"/>
              </w:rPr>
              <w:t xml:space="preserve">Intermediate </w:t>
            </w:r>
            <w:r w:rsidR="005424FA" w:rsidRPr="005B09D5">
              <w:rPr>
                <w:rFonts w:ascii="Arial" w:hAnsi="Arial" w:cs="Arial"/>
                <w:sz w:val="20"/>
                <w:szCs w:val="20"/>
              </w:rPr>
              <w:t>*</w:t>
            </w:r>
          </w:p>
        </w:tc>
      </w:tr>
      <w:tr w:rsidR="005424FA" w:rsidRPr="005B09D5" w14:paraId="1BD20FD7" w14:textId="77777777" w:rsidTr="00865842">
        <w:trPr>
          <w:trHeight w:val="1050"/>
        </w:trPr>
        <w:tc>
          <w:tcPr>
            <w:tcW w:w="7488" w:type="dxa"/>
            <w:vAlign w:val="center"/>
          </w:tcPr>
          <w:p w14:paraId="44A811E8" w14:textId="77777777" w:rsidR="005424FA" w:rsidRPr="005B09D5" w:rsidRDefault="005424FA" w:rsidP="005424FA">
            <w:pPr>
              <w:spacing w:before="120" w:after="120"/>
              <w:rPr>
                <w:rFonts w:ascii="Arial" w:hAnsi="Arial" w:cs="Arial"/>
                <w:b/>
                <w:color w:val="00703C"/>
                <w:sz w:val="20"/>
                <w:szCs w:val="20"/>
              </w:rPr>
            </w:pPr>
            <w:r w:rsidRPr="005B09D5">
              <w:rPr>
                <w:rFonts w:ascii="Arial" w:hAnsi="Arial" w:cs="Arial"/>
                <w:b/>
                <w:color w:val="00703C"/>
                <w:sz w:val="20"/>
                <w:szCs w:val="20"/>
              </w:rPr>
              <w:t>Change Leadership</w:t>
            </w:r>
          </w:p>
          <w:p w14:paraId="7EC3BDD1" w14:textId="77777777" w:rsidR="005424FA" w:rsidRPr="005B09D5" w:rsidRDefault="005424FA" w:rsidP="005424FA">
            <w:pPr>
              <w:spacing w:before="120" w:after="120"/>
              <w:rPr>
                <w:rFonts w:ascii="Arial" w:hAnsi="Arial" w:cs="Arial"/>
                <w:b/>
                <w:color w:val="008000"/>
                <w:sz w:val="20"/>
                <w:szCs w:val="20"/>
              </w:rPr>
            </w:pPr>
            <w:r w:rsidRPr="005B09D5">
              <w:rPr>
                <w:rFonts w:ascii="Arial" w:hAnsi="Arial" w:cs="Arial"/>
                <w:bCs/>
                <w:sz w:val="20"/>
                <w:szCs w:val="20"/>
                <w:lang w:val="en-NZ"/>
              </w:rPr>
              <w:t>The drive to initiate opportunities to address FMG’s organisational needs and to communicate change in a way that gains buy-in and support from others.</w:t>
            </w:r>
          </w:p>
        </w:tc>
        <w:tc>
          <w:tcPr>
            <w:tcW w:w="2160" w:type="dxa"/>
            <w:vAlign w:val="center"/>
          </w:tcPr>
          <w:p w14:paraId="3655FCDA" w14:textId="77777777" w:rsidR="005424FA" w:rsidRPr="005B09D5" w:rsidRDefault="004A7D21" w:rsidP="005424FA">
            <w:pPr>
              <w:spacing w:after="120"/>
              <w:ind w:left="357"/>
              <w:rPr>
                <w:rFonts w:ascii="Arial" w:hAnsi="Arial" w:cs="Arial"/>
                <w:sz w:val="20"/>
                <w:szCs w:val="20"/>
              </w:rPr>
            </w:pPr>
            <w:r w:rsidRPr="005B09D5">
              <w:rPr>
                <w:rFonts w:ascii="Arial" w:hAnsi="Arial" w:cs="Arial"/>
                <w:sz w:val="20"/>
                <w:szCs w:val="20"/>
              </w:rPr>
              <w:t>Intermediate*</w:t>
            </w:r>
          </w:p>
        </w:tc>
      </w:tr>
      <w:tr w:rsidR="005424FA" w:rsidRPr="005B09D5" w14:paraId="6F416024" w14:textId="77777777" w:rsidTr="00865842">
        <w:trPr>
          <w:trHeight w:val="1050"/>
        </w:trPr>
        <w:tc>
          <w:tcPr>
            <w:tcW w:w="7488" w:type="dxa"/>
            <w:vAlign w:val="center"/>
          </w:tcPr>
          <w:p w14:paraId="64B65A02" w14:textId="77777777" w:rsidR="005424FA" w:rsidRPr="005B09D5" w:rsidRDefault="005424FA" w:rsidP="005424FA">
            <w:pPr>
              <w:spacing w:before="120" w:after="120"/>
              <w:rPr>
                <w:rFonts w:ascii="Arial" w:hAnsi="Arial" w:cs="Arial"/>
                <w:b/>
                <w:color w:val="00703C"/>
                <w:sz w:val="20"/>
                <w:szCs w:val="20"/>
              </w:rPr>
            </w:pPr>
            <w:r w:rsidRPr="005B09D5">
              <w:rPr>
                <w:rFonts w:ascii="Arial" w:hAnsi="Arial" w:cs="Arial"/>
                <w:b/>
                <w:color w:val="00703C"/>
                <w:sz w:val="20"/>
                <w:szCs w:val="20"/>
              </w:rPr>
              <w:t>Strategic Thinking</w:t>
            </w:r>
          </w:p>
          <w:p w14:paraId="42A7F3B1" w14:textId="77777777" w:rsidR="005424FA" w:rsidRPr="005B09D5" w:rsidRDefault="005424FA" w:rsidP="005424FA">
            <w:pPr>
              <w:spacing w:before="120" w:after="120"/>
              <w:rPr>
                <w:rFonts w:ascii="Arial" w:hAnsi="Arial" w:cs="Arial"/>
                <w:b/>
                <w:color w:val="008000"/>
                <w:sz w:val="20"/>
                <w:szCs w:val="20"/>
              </w:rPr>
            </w:pPr>
            <w:r w:rsidRPr="005B09D5">
              <w:rPr>
                <w:rFonts w:ascii="Arial" w:hAnsi="Arial" w:cs="Arial"/>
                <w:bCs/>
                <w:sz w:val="20"/>
                <w:szCs w:val="20"/>
                <w:lang w:val="en-NZ"/>
              </w:rPr>
              <w:t>The capacity to stand apart from the day-to-day and take a long-term, big picture view of the business.</w:t>
            </w:r>
          </w:p>
        </w:tc>
        <w:tc>
          <w:tcPr>
            <w:tcW w:w="2160" w:type="dxa"/>
            <w:vAlign w:val="center"/>
          </w:tcPr>
          <w:p w14:paraId="403C9588" w14:textId="3BEA83B5" w:rsidR="005424FA" w:rsidRPr="005B09D5" w:rsidRDefault="00E13778" w:rsidP="005424FA">
            <w:pPr>
              <w:spacing w:after="120"/>
              <w:ind w:left="357"/>
              <w:rPr>
                <w:rFonts w:ascii="Arial" w:hAnsi="Arial" w:cs="Arial"/>
                <w:sz w:val="20"/>
                <w:szCs w:val="20"/>
              </w:rPr>
            </w:pPr>
            <w:r>
              <w:rPr>
                <w:rFonts w:ascii="Arial" w:hAnsi="Arial" w:cs="Arial"/>
                <w:sz w:val="20"/>
                <w:szCs w:val="20"/>
              </w:rPr>
              <w:t>Advanced</w:t>
            </w:r>
            <w:r w:rsidR="006950AC" w:rsidRPr="005B09D5">
              <w:rPr>
                <w:rFonts w:ascii="Arial" w:hAnsi="Arial" w:cs="Arial"/>
                <w:sz w:val="20"/>
                <w:szCs w:val="20"/>
              </w:rPr>
              <w:t>*</w:t>
            </w:r>
          </w:p>
        </w:tc>
      </w:tr>
    </w:tbl>
    <w:p w14:paraId="3A1227D6" w14:textId="77777777" w:rsidR="003C584B" w:rsidRDefault="003C584B">
      <w:pPr>
        <w:rPr>
          <w:rFonts w:ascii="Arial" w:hAnsi="Arial" w:cs="Arial"/>
        </w:rPr>
      </w:pPr>
    </w:p>
    <w:p w14:paraId="658EFFCD" w14:textId="77777777" w:rsidR="00467602" w:rsidRPr="005B09D5" w:rsidRDefault="00467602">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79"/>
        <w:gridCol w:w="6769"/>
      </w:tblGrid>
      <w:tr w:rsidR="003A367A" w:rsidRPr="005B09D5" w14:paraId="05668A1B" w14:textId="77777777" w:rsidTr="005B09D5">
        <w:trPr>
          <w:trHeight w:val="441"/>
        </w:trPr>
        <w:tc>
          <w:tcPr>
            <w:tcW w:w="9648" w:type="dxa"/>
            <w:gridSpan w:val="2"/>
            <w:shd w:val="clear" w:color="auto" w:fill="00703C"/>
            <w:vAlign w:val="center"/>
          </w:tcPr>
          <w:p w14:paraId="39F84B1E" w14:textId="77777777" w:rsidR="003A367A" w:rsidRPr="005B09D5" w:rsidRDefault="003A367A" w:rsidP="00B76DF0">
            <w:pPr>
              <w:jc w:val="center"/>
              <w:rPr>
                <w:rFonts w:ascii="Arial" w:hAnsi="Arial" w:cs="Arial"/>
                <w:b/>
                <w:bCs/>
                <w:color w:val="FFFFFF"/>
                <w:sz w:val="22"/>
                <w:szCs w:val="22"/>
              </w:rPr>
            </w:pPr>
            <w:r w:rsidRPr="005B09D5">
              <w:rPr>
                <w:rFonts w:ascii="Arial" w:hAnsi="Arial" w:cs="Arial"/>
                <w:b/>
                <w:bCs/>
                <w:color w:val="FFFFFF"/>
                <w:sz w:val="22"/>
                <w:szCs w:val="22"/>
              </w:rPr>
              <w:lastRenderedPageBreak/>
              <w:t>KNOWLEDGE</w:t>
            </w:r>
          </w:p>
        </w:tc>
      </w:tr>
      <w:tr w:rsidR="003A367A" w:rsidRPr="005B09D5" w14:paraId="2C3FD564" w14:textId="77777777" w:rsidTr="00AC4DCB">
        <w:trPr>
          <w:trHeight w:val="561"/>
        </w:trPr>
        <w:tc>
          <w:tcPr>
            <w:tcW w:w="2879" w:type="dxa"/>
            <w:vAlign w:val="center"/>
          </w:tcPr>
          <w:p w14:paraId="49CCD6DE" w14:textId="77777777" w:rsidR="003A367A" w:rsidRPr="005B09D5" w:rsidRDefault="003A367A" w:rsidP="00B76DF0">
            <w:pPr>
              <w:rPr>
                <w:rFonts w:ascii="Arial" w:hAnsi="Arial" w:cs="Arial"/>
                <w:b/>
                <w:color w:val="00703C"/>
                <w:sz w:val="20"/>
                <w:szCs w:val="20"/>
              </w:rPr>
            </w:pPr>
            <w:r w:rsidRPr="005B09D5">
              <w:rPr>
                <w:rFonts w:ascii="Arial" w:hAnsi="Arial" w:cs="Arial"/>
                <w:b/>
                <w:color w:val="00703C"/>
                <w:sz w:val="20"/>
                <w:szCs w:val="20"/>
              </w:rPr>
              <w:t>Qualifications</w:t>
            </w:r>
          </w:p>
        </w:tc>
        <w:tc>
          <w:tcPr>
            <w:tcW w:w="6769" w:type="dxa"/>
            <w:vAlign w:val="center"/>
          </w:tcPr>
          <w:p w14:paraId="525BF12B" w14:textId="55B5570A" w:rsidR="004A7D21" w:rsidRPr="0032116F" w:rsidRDefault="00E13778" w:rsidP="00AC4DCB">
            <w:pPr>
              <w:rPr>
                <w:rFonts w:ascii="Arial" w:hAnsi="Arial" w:cs="Arial"/>
                <w:sz w:val="20"/>
                <w:szCs w:val="20"/>
                <w:lang w:val="en-NZ"/>
              </w:rPr>
            </w:pPr>
            <w:r w:rsidRPr="00E13778">
              <w:rPr>
                <w:rFonts w:ascii="Arial" w:hAnsi="Arial" w:cs="Arial"/>
                <w:sz w:val="20"/>
                <w:szCs w:val="20"/>
                <w:lang w:val="en-NZ"/>
              </w:rPr>
              <w:t>Relevant tertiary qualification in data governance, information management, records management, privacy, or a related discipline, or equivalent experience.</w:t>
            </w:r>
          </w:p>
        </w:tc>
      </w:tr>
      <w:tr w:rsidR="00152160" w:rsidRPr="005B09D5" w14:paraId="7E91CD97" w14:textId="77777777" w:rsidTr="00AC4DCB">
        <w:trPr>
          <w:trHeight w:val="561"/>
        </w:trPr>
        <w:tc>
          <w:tcPr>
            <w:tcW w:w="2879" w:type="dxa"/>
            <w:vAlign w:val="center"/>
          </w:tcPr>
          <w:p w14:paraId="27EA1DD8" w14:textId="77777777" w:rsidR="00152160" w:rsidRPr="005B09D5" w:rsidRDefault="00910EEF" w:rsidP="00B76DF0">
            <w:pPr>
              <w:rPr>
                <w:rFonts w:ascii="Arial" w:hAnsi="Arial" w:cs="Arial"/>
                <w:b/>
                <w:color w:val="00703C"/>
                <w:sz w:val="20"/>
                <w:szCs w:val="20"/>
              </w:rPr>
            </w:pPr>
            <w:r w:rsidRPr="005B09D5">
              <w:rPr>
                <w:rFonts w:ascii="Arial" w:hAnsi="Arial" w:cs="Arial"/>
                <w:b/>
                <w:color w:val="00703C"/>
                <w:sz w:val="20"/>
                <w:szCs w:val="20"/>
              </w:rPr>
              <w:t>Business Awareness</w:t>
            </w:r>
          </w:p>
        </w:tc>
        <w:tc>
          <w:tcPr>
            <w:tcW w:w="6769" w:type="dxa"/>
            <w:vAlign w:val="center"/>
          </w:tcPr>
          <w:p w14:paraId="5B87AA01" w14:textId="77777777" w:rsidR="00152160" w:rsidRPr="005B09D5" w:rsidRDefault="00910EEF" w:rsidP="00B76DF0">
            <w:pPr>
              <w:rPr>
                <w:rFonts w:ascii="Arial" w:hAnsi="Arial" w:cs="Arial"/>
                <w:sz w:val="20"/>
                <w:szCs w:val="20"/>
                <w:lang w:val="en-NZ"/>
              </w:rPr>
            </w:pPr>
            <w:r w:rsidRPr="005B09D5">
              <w:rPr>
                <w:rFonts w:ascii="Arial" w:hAnsi="Arial" w:cs="Arial"/>
                <w:sz w:val="20"/>
                <w:szCs w:val="20"/>
              </w:rPr>
              <w:t>Understands the internal workings of FMG and how business works; understands FMG's position in the advice and insurance market and knows the competition.</w:t>
            </w:r>
          </w:p>
        </w:tc>
      </w:tr>
      <w:tr w:rsidR="003A367A" w:rsidRPr="005B09D5" w14:paraId="24F0052E" w14:textId="77777777" w:rsidTr="00AC4DCB">
        <w:trPr>
          <w:trHeight w:val="924"/>
        </w:trPr>
        <w:tc>
          <w:tcPr>
            <w:tcW w:w="2879" w:type="dxa"/>
            <w:vAlign w:val="center"/>
          </w:tcPr>
          <w:p w14:paraId="3A8902E8" w14:textId="77777777" w:rsidR="003A367A" w:rsidRPr="005B09D5" w:rsidRDefault="003A367A" w:rsidP="00B76DF0">
            <w:pPr>
              <w:rPr>
                <w:rFonts w:ascii="Arial" w:hAnsi="Arial" w:cs="Arial"/>
                <w:b/>
                <w:color w:val="00703C"/>
                <w:sz w:val="20"/>
                <w:szCs w:val="20"/>
              </w:rPr>
            </w:pPr>
            <w:r w:rsidRPr="005B09D5">
              <w:rPr>
                <w:rFonts w:ascii="Arial" w:hAnsi="Arial" w:cs="Arial"/>
                <w:b/>
                <w:color w:val="00703C"/>
                <w:sz w:val="20"/>
                <w:szCs w:val="20"/>
              </w:rPr>
              <w:t>Specialist Knowledge</w:t>
            </w:r>
          </w:p>
        </w:tc>
        <w:tc>
          <w:tcPr>
            <w:tcW w:w="6769" w:type="dxa"/>
            <w:vAlign w:val="center"/>
          </w:tcPr>
          <w:p w14:paraId="1CA0601F" w14:textId="77777777" w:rsidR="00E13778" w:rsidRDefault="00E13778" w:rsidP="00E13778">
            <w:pPr>
              <w:numPr>
                <w:ilvl w:val="0"/>
                <w:numId w:val="15"/>
              </w:numPr>
              <w:rPr>
                <w:rFonts w:ascii="Arial" w:hAnsi="Arial" w:cs="Arial"/>
                <w:sz w:val="20"/>
                <w:szCs w:val="20"/>
                <w:lang w:val="en-NZ"/>
              </w:rPr>
            </w:pPr>
            <w:r w:rsidRPr="00E13778">
              <w:rPr>
                <w:rFonts w:ascii="Arial" w:hAnsi="Arial" w:cs="Arial"/>
                <w:sz w:val="20"/>
                <w:szCs w:val="20"/>
                <w:lang w:val="en-NZ"/>
              </w:rPr>
              <w:t xml:space="preserve">Enterprise data governance and information governance practices. </w:t>
            </w:r>
          </w:p>
          <w:p w14:paraId="0D0D801E" w14:textId="77777777" w:rsidR="00E13778" w:rsidRDefault="00E13778" w:rsidP="00E13778">
            <w:pPr>
              <w:numPr>
                <w:ilvl w:val="0"/>
                <w:numId w:val="15"/>
              </w:numPr>
              <w:rPr>
                <w:rFonts w:ascii="Arial" w:hAnsi="Arial" w:cs="Arial"/>
                <w:sz w:val="20"/>
                <w:szCs w:val="20"/>
                <w:lang w:val="en-NZ"/>
              </w:rPr>
            </w:pPr>
            <w:r w:rsidRPr="00E13778">
              <w:rPr>
                <w:rFonts w:ascii="Arial" w:hAnsi="Arial" w:cs="Arial"/>
                <w:sz w:val="20"/>
                <w:szCs w:val="20"/>
                <w:lang w:val="en-NZ"/>
              </w:rPr>
              <w:t xml:space="preserve">Information protection and privacy principles, including secure handling of sensitive information. </w:t>
            </w:r>
          </w:p>
          <w:p w14:paraId="0349A68D" w14:textId="77777777" w:rsidR="00E13778" w:rsidRDefault="00E13778" w:rsidP="00E13778">
            <w:pPr>
              <w:numPr>
                <w:ilvl w:val="0"/>
                <w:numId w:val="15"/>
              </w:numPr>
              <w:rPr>
                <w:rFonts w:ascii="Arial" w:hAnsi="Arial" w:cs="Arial"/>
                <w:sz w:val="20"/>
                <w:szCs w:val="20"/>
                <w:lang w:val="en-NZ"/>
              </w:rPr>
            </w:pPr>
            <w:r w:rsidRPr="00E13778">
              <w:rPr>
                <w:rFonts w:ascii="Arial" w:hAnsi="Arial" w:cs="Arial"/>
                <w:sz w:val="20"/>
                <w:szCs w:val="20"/>
                <w:lang w:val="en-NZ"/>
              </w:rPr>
              <w:t xml:space="preserve">Data quality management, metadata, classification, and lifecycle management. </w:t>
            </w:r>
          </w:p>
          <w:p w14:paraId="1CF96C2F" w14:textId="77777777" w:rsidR="00AB6E33" w:rsidRDefault="00E13778" w:rsidP="00AB6E33">
            <w:pPr>
              <w:numPr>
                <w:ilvl w:val="0"/>
                <w:numId w:val="15"/>
              </w:numPr>
              <w:rPr>
                <w:rFonts w:ascii="Arial" w:hAnsi="Arial" w:cs="Arial"/>
                <w:sz w:val="20"/>
                <w:szCs w:val="20"/>
                <w:lang w:val="en-NZ"/>
              </w:rPr>
            </w:pPr>
            <w:r w:rsidRPr="00E13778">
              <w:rPr>
                <w:rFonts w:ascii="Arial" w:hAnsi="Arial" w:cs="Arial"/>
                <w:sz w:val="20"/>
                <w:szCs w:val="20"/>
                <w:lang w:val="en-NZ"/>
              </w:rPr>
              <w:t xml:space="preserve">Knowledge management principles and enterprise knowledge platforms. </w:t>
            </w:r>
          </w:p>
          <w:p w14:paraId="56816133" w14:textId="64EE171C" w:rsidR="00E13778" w:rsidRPr="00E13778" w:rsidRDefault="00E13778" w:rsidP="00AB6E33">
            <w:pPr>
              <w:numPr>
                <w:ilvl w:val="0"/>
                <w:numId w:val="15"/>
              </w:numPr>
              <w:rPr>
                <w:rFonts w:ascii="Arial" w:hAnsi="Arial" w:cs="Arial"/>
                <w:sz w:val="20"/>
                <w:szCs w:val="20"/>
                <w:lang w:val="en-NZ"/>
              </w:rPr>
            </w:pPr>
            <w:r w:rsidRPr="00E13778">
              <w:rPr>
                <w:rFonts w:ascii="Arial" w:hAnsi="Arial" w:cs="Arial"/>
                <w:sz w:val="20"/>
                <w:szCs w:val="20"/>
                <w:lang w:val="en-NZ"/>
              </w:rPr>
              <w:t>Relevant legislative and regulatory obligations (e.g. Privacy Act, records management requirements).</w:t>
            </w:r>
          </w:p>
          <w:p w14:paraId="35414B3C" w14:textId="24B732E9" w:rsidR="003A367A" w:rsidRPr="00F83135" w:rsidRDefault="003A367A" w:rsidP="00E13778">
            <w:pPr>
              <w:rPr>
                <w:rFonts w:ascii="Arial" w:hAnsi="Arial" w:cs="Arial"/>
                <w:sz w:val="20"/>
                <w:szCs w:val="20"/>
                <w:lang w:val="en-NZ"/>
              </w:rPr>
            </w:pPr>
          </w:p>
        </w:tc>
      </w:tr>
    </w:tbl>
    <w:p w14:paraId="27037B05" w14:textId="77777777" w:rsidR="00AE5582" w:rsidRPr="005B09D5" w:rsidRDefault="00AE5582" w:rsidP="00AC4DCB">
      <w:pPr>
        <w:tabs>
          <w:tab w:val="num" w:pos="720"/>
        </w:tabs>
        <w:overflowPunct w:val="0"/>
        <w:autoSpaceDE w:val="0"/>
        <w:autoSpaceDN w:val="0"/>
        <w:adjustRightInd w:val="0"/>
        <w:spacing w:beforeLines="60" w:before="144" w:afterLines="80" w:after="192" w:line="240" w:lineRule="atLeast"/>
        <w:ind w:left="360"/>
        <w:jc w:val="both"/>
        <w:textAlignment w:val="baseline"/>
        <w:rPr>
          <w:rFonts w:ascii="Arial" w:hAnsi="Arial" w:cs="Arial"/>
          <w:color w:val="FF0000"/>
          <w:sz w:val="16"/>
          <w:szCs w:val="16"/>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91"/>
        <w:gridCol w:w="6757"/>
      </w:tblGrid>
      <w:tr w:rsidR="003A367A" w:rsidRPr="005B09D5" w14:paraId="6C710589" w14:textId="77777777" w:rsidTr="005B09D5">
        <w:trPr>
          <w:trHeight w:val="539"/>
        </w:trPr>
        <w:tc>
          <w:tcPr>
            <w:tcW w:w="9648" w:type="dxa"/>
            <w:gridSpan w:val="2"/>
            <w:shd w:val="clear" w:color="auto" w:fill="00703C"/>
            <w:vAlign w:val="center"/>
          </w:tcPr>
          <w:p w14:paraId="4B934954" w14:textId="77777777" w:rsidR="003A367A" w:rsidRPr="005B09D5" w:rsidRDefault="003A367A" w:rsidP="00B76DF0">
            <w:pPr>
              <w:jc w:val="center"/>
              <w:rPr>
                <w:rFonts w:ascii="Arial" w:hAnsi="Arial" w:cs="Arial"/>
                <w:b/>
                <w:bCs/>
                <w:color w:val="FFFFFF"/>
                <w:sz w:val="22"/>
                <w:szCs w:val="22"/>
                <w:lang w:eastAsia="en-NZ"/>
              </w:rPr>
            </w:pPr>
            <w:r w:rsidRPr="005B09D5">
              <w:rPr>
                <w:rFonts w:ascii="Arial" w:hAnsi="Arial" w:cs="Arial"/>
                <w:b/>
                <w:bCs/>
                <w:color w:val="FFFFFF"/>
                <w:sz w:val="22"/>
                <w:szCs w:val="22"/>
                <w:lang w:eastAsia="en-NZ"/>
              </w:rPr>
              <w:t>SKILLS</w:t>
            </w:r>
          </w:p>
        </w:tc>
      </w:tr>
      <w:tr w:rsidR="00540C61" w:rsidRPr="005B09D5" w14:paraId="7A7B89EA" w14:textId="77777777" w:rsidTr="00AC4DCB">
        <w:trPr>
          <w:trHeight w:val="634"/>
        </w:trPr>
        <w:tc>
          <w:tcPr>
            <w:tcW w:w="2891" w:type="dxa"/>
            <w:vAlign w:val="center"/>
          </w:tcPr>
          <w:p w14:paraId="46EE59CC" w14:textId="77777777" w:rsidR="00540C61" w:rsidRPr="005B09D5" w:rsidRDefault="00540C61" w:rsidP="00B76DF0">
            <w:pPr>
              <w:rPr>
                <w:rFonts w:ascii="Arial" w:hAnsi="Arial" w:cs="Arial"/>
                <w:b/>
                <w:color w:val="00703C"/>
                <w:sz w:val="20"/>
                <w:szCs w:val="20"/>
              </w:rPr>
            </w:pPr>
            <w:r w:rsidRPr="005B09D5">
              <w:rPr>
                <w:rFonts w:ascii="Arial" w:hAnsi="Arial" w:cs="Arial"/>
                <w:b/>
                <w:color w:val="00703C"/>
                <w:sz w:val="20"/>
                <w:szCs w:val="20"/>
              </w:rPr>
              <w:t>Written Communication Skills</w:t>
            </w:r>
          </w:p>
        </w:tc>
        <w:tc>
          <w:tcPr>
            <w:tcW w:w="6757" w:type="dxa"/>
            <w:vAlign w:val="center"/>
          </w:tcPr>
          <w:p w14:paraId="40F7B8DB" w14:textId="77777777" w:rsidR="00540C61" w:rsidRPr="005B09D5" w:rsidRDefault="00540C61" w:rsidP="00B76DF0">
            <w:pPr>
              <w:rPr>
                <w:rFonts w:ascii="Arial" w:hAnsi="Arial" w:cs="Arial"/>
                <w:sz w:val="20"/>
                <w:szCs w:val="20"/>
                <w:lang w:val="en-NZ"/>
              </w:rPr>
            </w:pPr>
            <w:r w:rsidRPr="005B09D5">
              <w:rPr>
                <w:rFonts w:ascii="Arial" w:hAnsi="Arial" w:cs="Arial"/>
                <w:sz w:val="20"/>
                <w:szCs w:val="20"/>
                <w:lang w:val="en-NZ"/>
              </w:rPr>
              <w:t>Able to write clear, concise and persuasive proposals and reports.</w:t>
            </w:r>
          </w:p>
        </w:tc>
      </w:tr>
      <w:tr w:rsidR="003A367A" w:rsidRPr="005B09D5" w14:paraId="6D429E2D" w14:textId="77777777" w:rsidTr="00AC4DCB">
        <w:trPr>
          <w:trHeight w:val="634"/>
        </w:trPr>
        <w:tc>
          <w:tcPr>
            <w:tcW w:w="2891" w:type="dxa"/>
            <w:vAlign w:val="center"/>
          </w:tcPr>
          <w:p w14:paraId="7066C679" w14:textId="77777777" w:rsidR="003A367A" w:rsidRPr="005B09D5" w:rsidRDefault="003A367A" w:rsidP="00B76DF0">
            <w:pPr>
              <w:rPr>
                <w:rFonts w:ascii="Arial" w:hAnsi="Arial" w:cs="Arial"/>
                <w:b/>
                <w:color w:val="00703C"/>
                <w:sz w:val="20"/>
                <w:szCs w:val="20"/>
              </w:rPr>
            </w:pPr>
            <w:r w:rsidRPr="005B09D5">
              <w:rPr>
                <w:rFonts w:ascii="Arial" w:hAnsi="Arial" w:cs="Arial"/>
                <w:b/>
                <w:color w:val="00703C"/>
                <w:sz w:val="20"/>
                <w:szCs w:val="20"/>
              </w:rPr>
              <w:t>Verbal Communications Skills</w:t>
            </w:r>
          </w:p>
        </w:tc>
        <w:tc>
          <w:tcPr>
            <w:tcW w:w="6757" w:type="dxa"/>
            <w:vAlign w:val="center"/>
          </w:tcPr>
          <w:p w14:paraId="31D90286" w14:textId="77777777" w:rsidR="003A367A" w:rsidRPr="005B09D5" w:rsidRDefault="00910EEF" w:rsidP="00B76DF0">
            <w:pPr>
              <w:rPr>
                <w:rFonts w:ascii="Arial" w:hAnsi="Arial" w:cs="Arial"/>
                <w:bCs/>
                <w:sz w:val="20"/>
                <w:szCs w:val="20"/>
                <w:lang w:eastAsia="en-NZ"/>
              </w:rPr>
            </w:pPr>
            <w:r w:rsidRPr="005B09D5">
              <w:rPr>
                <w:rFonts w:ascii="Arial" w:hAnsi="Arial" w:cs="Arial"/>
                <w:sz w:val="20"/>
                <w:szCs w:val="20"/>
                <w:lang w:val="en-NZ"/>
              </w:rPr>
              <w:t>Communicates clearly in order to present information to persuade and influence others.</w:t>
            </w:r>
          </w:p>
        </w:tc>
      </w:tr>
      <w:tr w:rsidR="003A367A" w:rsidRPr="005B09D5" w14:paraId="669E3237" w14:textId="77777777" w:rsidTr="00AC4DCB">
        <w:trPr>
          <w:trHeight w:val="751"/>
        </w:trPr>
        <w:tc>
          <w:tcPr>
            <w:tcW w:w="2891" w:type="dxa"/>
            <w:vAlign w:val="center"/>
          </w:tcPr>
          <w:p w14:paraId="2FBB19D6" w14:textId="77777777" w:rsidR="003A367A" w:rsidRPr="005B09D5" w:rsidRDefault="003A367A" w:rsidP="00B76DF0">
            <w:pPr>
              <w:rPr>
                <w:rFonts w:ascii="Arial" w:hAnsi="Arial" w:cs="Arial"/>
                <w:b/>
                <w:color w:val="00703C"/>
                <w:sz w:val="20"/>
                <w:szCs w:val="20"/>
              </w:rPr>
            </w:pPr>
            <w:r w:rsidRPr="005B09D5">
              <w:rPr>
                <w:rFonts w:ascii="Arial" w:hAnsi="Arial" w:cs="Arial"/>
                <w:b/>
                <w:color w:val="00703C"/>
                <w:sz w:val="20"/>
                <w:szCs w:val="20"/>
              </w:rPr>
              <w:t>Technology Skills</w:t>
            </w:r>
          </w:p>
        </w:tc>
        <w:tc>
          <w:tcPr>
            <w:tcW w:w="6757" w:type="dxa"/>
            <w:vAlign w:val="center"/>
          </w:tcPr>
          <w:p w14:paraId="37DAF964" w14:textId="0EA69C29" w:rsidR="003A367A" w:rsidRPr="003953FA" w:rsidRDefault="00AB6E33" w:rsidP="00B76DF0">
            <w:pPr>
              <w:rPr>
                <w:rFonts w:ascii="Arial" w:hAnsi="Arial" w:cs="Arial"/>
                <w:sz w:val="20"/>
                <w:szCs w:val="20"/>
                <w:lang w:val="en-NZ"/>
              </w:rPr>
            </w:pPr>
            <w:r w:rsidRPr="00AB6E33">
              <w:rPr>
                <w:rFonts w:ascii="Arial" w:hAnsi="Arial" w:cs="Arial"/>
                <w:sz w:val="20"/>
                <w:szCs w:val="20"/>
                <w:lang w:val="en-NZ"/>
              </w:rPr>
              <w:t>Strong understanding of data, information, and knowledge management technologies and governance tooling.</w:t>
            </w:r>
          </w:p>
        </w:tc>
      </w:tr>
      <w:tr w:rsidR="003A367A" w:rsidRPr="005B09D5" w14:paraId="302AF7EC" w14:textId="77777777" w:rsidTr="00AC4DCB">
        <w:trPr>
          <w:trHeight w:val="751"/>
        </w:trPr>
        <w:tc>
          <w:tcPr>
            <w:tcW w:w="2891" w:type="dxa"/>
            <w:vAlign w:val="center"/>
          </w:tcPr>
          <w:p w14:paraId="5DF94D5B" w14:textId="77777777" w:rsidR="003A367A" w:rsidRPr="005B09D5" w:rsidRDefault="00152160" w:rsidP="00B76DF0">
            <w:pPr>
              <w:rPr>
                <w:rFonts w:ascii="Arial" w:hAnsi="Arial" w:cs="Arial"/>
                <w:b/>
                <w:color w:val="00703C"/>
                <w:sz w:val="20"/>
                <w:szCs w:val="20"/>
              </w:rPr>
            </w:pPr>
            <w:r w:rsidRPr="005B09D5">
              <w:rPr>
                <w:rFonts w:ascii="Arial" w:hAnsi="Arial" w:cs="Arial"/>
                <w:b/>
                <w:color w:val="00703C"/>
                <w:sz w:val="20"/>
                <w:szCs w:val="20"/>
              </w:rPr>
              <w:t>Listening</w:t>
            </w:r>
            <w:r w:rsidR="00910EEF" w:rsidRPr="005B09D5">
              <w:rPr>
                <w:rFonts w:ascii="Arial" w:hAnsi="Arial" w:cs="Arial"/>
                <w:b/>
                <w:color w:val="00703C"/>
                <w:sz w:val="20"/>
                <w:szCs w:val="20"/>
              </w:rPr>
              <w:t xml:space="preserve"> Skills</w:t>
            </w:r>
          </w:p>
        </w:tc>
        <w:tc>
          <w:tcPr>
            <w:tcW w:w="6757" w:type="dxa"/>
            <w:vAlign w:val="center"/>
          </w:tcPr>
          <w:p w14:paraId="4019930C" w14:textId="77777777" w:rsidR="003A367A" w:rsidRPr="005B09D5" w:rsidRDefault="00152160" w:rsidP="00B76DF0">
            <w:pPr>
              <w:rPr>
                <w:rFonts w:ascii="Arial" w:hAnsi="Arial" w:cs="Arial"/>
                <w:sz w:val="20"/>
                <w:szCs w:val="20"/>
              </w:rPr>
            </w:pPr>
            <w:r w:rsidRPr="005B09D5">
              <w:rPr>
                <w:rFonts w:ascii="Arial" w:hAnsi="Arial" w:cs="Arial"/>
                <w:sz w:val="20"/>
                <w:szCs w:val="20"/>
                <w:lang w:val="en-NZ"/>
              </w:rPr>
              <w:t>Demonstrates active listening skills through eye contact, paraphrasing, appropriate body language and checking understanding.</w:t>
            </w:r>
          </w:p>
        </w:tc>
      </w:tr>
      <w:tr w:rsidR="00910EEF" w:rsidRPr="005B09D5" w14:paraId="05B45C17" w14:textId="77777777" w:rsidTr="00AC4DCB">
        <w:trPr>
          <w:trHeight w:val="751"/>
        </w:trPr>
        <w:tc>
          <w:tcPr>
            <w:tcW w:w="2891" w:type="dxa"/>
            <w:vAlign w:val="center"/>
          </w:tcPr>
          <w:p w14:paraId="7B75D3ED" w14:textId="77777777" w:rsidR="00910EEF" w:rsidRPr="005B09D5" w:rsidRDefault="00910EEF" w:rsidP="00B76DF0">
            <w:pPr>
              <w:rPr>
                <w:rFonts w:ascii="Arial" w:hAnsi="Arial" w:cs="Arial"/>
                <w:b/>
                <w:color w:val="00703C"/>
                <w:sz w:val="20"/>
                <w:szCs w:val="20"/>
              </w:rPr>
            </w:pPr>
            <w:r w:rsidRPr="005B09D5">
              <w:rPr>
                <w:rFonts w:ascii="Arial" w:hAnsi="Arial" w:cs="Arial"/>
                <w:b/>
                <w:color w:val="00703C"/>
                <w:sz w:val="20"/>
                <w:szCs w:val="20"/>
              </w:rPr>
              <w:t>Risk Assessment Skills</w:t>
            </w:r>
          </w:p>
        </w:tc>
        <w:tc>
          <w:tcPr>
            <w:tcW w:w="6757" w:type="dxa"/>
            <w:vAlign w:val="center"/>
          </w:tcPr>
          <w:p w14:paraId="725017F7" w14:textId="10D45D12" w:rsidR="00910EEF" w:rsidRPr="005B09D5" w:rsidRDefault="008E0351" w:rsidP="00B76DF0">
            <w:pPr>
              <w:rPr>
                <w:rFonts w:ascii="Arial" w:hAnsi="Arial" w:cs="Arial"/>
                <w:sz w:val="20"/>
                <w:szCs w:val="20"/>
                <w:lang w:val="en-NZ"/>
              </w:rPr>
            </w:pPr>
            <w:r w:rsidRPr="008E0351">
              <w:rPr>
                <w:rFonts w:ascii="Arial" w:hAnsi="Arial" w:cs="Arial"/>
                <w:sz w:val="20"/>
                <w:szCs w:val="20"/>
                <w:lang w:val="en-NZ"/>
              </w:rPr>
              <w:t>Identifies, assesses, and mitigates data, information, privacy, and knowledge risks that may impact FMG’s compliance, reputation, or decision</w:t>
            </w:r>
            <w:r w:rsidRPr="008E0351">
              <w:rPr>
                <w:rFonts w:ascii="Arial" w:hAnsi="Arial" w:cs="Arial"/>
                <w:sz w:val="20"/>
                <w:szCs w:val="20"/>
                <w:lang w:val="en-NZ"/>
              </w:rPr>
              <w:noBreakHyphen/>
              <w:t>making.</w:t>
            </w:r>
          </w:p>
        </w:tc>
      </w:tr>
      <w:tr w:rsidR="006F19CA" w:rsidRPr="005B09D5" w14:paraId="40CD5074" w14:textId="77777777" w:rsidTr="00AC4DCB">
        <w:trPr>
          <w:trHeight w:val="751"/>
        </w:trPr>
        <w:tc>
          <w:tcPr>
            <w:tcW w:w="2891" w:type="dxa"/>
            <w:vAlign w:val="center"/>
          </w:tcPr>
          <w:p w14:paraId="733D8D7C" w14:textId="77777777" w:rsidR="006F19CA" w:rsidRPr="005B09D5" w:rsidRDefault="006F19CA" w:rsidP="00B76DF0">
            <w:pPr>
              <w:rPr>
                <w:rFonts w:ascii="Arial" w:hAnsi="Arial" w:cs="Arial"/>
                <w:b/>
                <w:color w:val="00703C"/>
                <w:sz w:val="20"/>
                <w:szCs w:val="20"/>
              </w:rPr>
            </w:pPr>
            <w:r w:rsidRPr="005B09D5">
              <w:rPr>
                <w:rFonts w:ascii="Arial" w:hAnsi="Arial" w:cs="Arial"/>
                <w:b/>
                <w:color w:val="00703C"/>
                <w:sz w:val="20"/>
                <w:szCs w:val="20"/>
              </w:rPr>
              <w:t>Financial Skills</w:t>
            </w:r>
          </w:p>
        </w:tc>
        <w:tc>
          <w:tcPr>
            <w:tcW w:w="6757" w:type="dxa"/>
            <w:vAlign w:val="center"/>
          </w:tcPr>
          <w:p w14:paraId="1B69B18E" w14:textId="4B873720" w:rsidR="006F19CA" w:rsidRPr="005B09D5" w:rsidRDefault="00CC1A29" w:rsidP="00B76DF0">
            <w:pPr>
              <w:rPr>
                <w:rFonts w:ascii="Arial" w:hAnsi="Arial" w:cs="Arial"/>
                <w:sz w:val="20"/>
                <w:szCs w:val="20"/>
                <w:lang w:val="en-NZ"/>
              </w:rPr>
            </w:pPr>
            <w:r w:rsidRPr="00CC1A29">
              <w:rPr>
                <w:rFonts w:ascii="Arial" w:hAnsi="Arial" w:cs="Arial"/>
                <w:sz w:val="20"/>
                <w:szCs w:val="20"/>
                <w:lang w:val="en-NZ"/>
              </w:rPr>
              <w:t>Able to understand and interpret financial information such as budgets, forecasts, and cost considerations</w:t>
            </w:r>
          </w:p>
        </w:tc>
      </w:tr>
      <w:tr w:rsidR="00540C61" w:rsidRPr="005B09D5" w14:paraId="110F3AA0" w14:textId="77777777" w:rsidTr="00AC4DCB">
        <w:trPr>
          <w:trHeight w:val="751"/>
        </w:trPr>
        <w:tc>
          <w:tcPr>
            <w:tcW w:w="2891" w:type="dxa"/>
            <w:vAlign w:val="center"/>
          </w:tcPr>
          <w:p w14:paraId="1F945101" w14:textId="77777777" w:rsidR="00540C61" w:rsidRPr="005B09D5" w:rsidRDefault="006F19CA" w:rsidP="00B76DF0">
            <w:pPr>
              <w:rPr>
                <w:rFonts w:ascii="Arial" w:hAnsi="Arial" w:cs="Arial"/>
                <w:b/>
                <w:color w:val="00703C"/>
                <w:sz w:val="20"/>
                <w:szCs w:val="20"/>
              </w:rPr>
            </w:pPr>
            <w:r w:rsidRPr="005B09D5">
              <w:rPr>
                <w:rFonts w:ascii="Arial" w:hAnsi="Arial" w:cs="Arial"/>
                <w:b/>
                <w:color w:val="00703C"/>
                <w:sz w:val="20"/>
                <w:szCs w:val="20"/>
              </w:rPr>
              <w:t>Specialist Skills</w:t>
            </w:r>
          </w:p>
        </w:tc>
        <w:tc>
          <w:tcPr>
            <w:tcW w:w="6757" w:type="dxa"/>
            <w:vAlign w:val="center"/>
          </w:tcPr>
          <w:p w14:paraId="17F44532" w14:textId="03FCCAC2" w:rsidR="00540C61" w:rsidRPr="005B09D5" w:rsidRDefault="002075CB" w:rsidP="00B76DF0">
            <w:pPr>
              <w:rPr>
                <w:rFonts w:ascii="Arial" w:hAnsi="Arial" w:cs="Arial"/>
                <w:sz w:val="20"/>
                <w:szCs w:val="20"/>
                <w:lang w:val="en-NZ"/>
              </w:rPr>
            </w:pPr>
            <w:r w:rsidRPr="002075CB">
              <w:rPr>
                <w:rFonts w:ascii="Arial" w:hAnsi="Arial" w:cs="Arial"/>
                <w:sz w:val="20"/>
                <w:szCs w:val="20"/>
                <w:lang w:val="en-NZ"/>
              </w:rPr>
              <w:t>Strong capability in leading analytics delivery, prioritising work, and translating business questions into meaningful insights and outcomes.</w:t>
            </w:r>
          </w:p>
        </w:tc>
      </w:tr>
    </w:tbl>
    <w:p w14:paraId="1048CD17" w14:textId="77777777" w:rsidR="009E4D68" w:rsidRPr="005B09D5" w:rsidRDefault="009E4D68" w:rsidP="00106A67">
      <w:pPr>
        <w:pStyle w:val="Heading3"/>
        <w:spacing w:before="120"/>
        <w:rPr>
          <w:color w:val="008000"/>
          <w:sz w:val="28"/>
          <w:szCs w:val="28"/>
        </w:rPr>
      </w:pPr>
    </w:p>
    <w:p w14:paraId="53F0B156" w14:textId="77777777" w:rsidR="00B85400" w:rsidRPr="005B09D5" w:rsidRDefault="00106A67" w:rsidP="00106A67">
      <w:pPr>
        <w:pStyle w:val="Heading3"/>
        <w:spacing w:before="120"/>
        <w:rPr>
          <w:i/>
          <w:color w:val="00703C"/>
          <w:sz w:val="28"/>
          <w:szCs w:val="28"/>
        </w:rPr>
      </w:pPr>
      <w:r w:rsidRPr="005B09D5">
        <w:rPr>
          <w:i/>
          <w:color w:val="00703C"/>
          <w:sz w:val="28"/>
          <w:szCs w:val="28"/>
        </w:rPr>
        <w:t>Relationship</w:t>
      </w:r>
    </w:p>
    <w:tbl>
      <w:tblPr>
        <w:tblW w:w="9540" w:type="dxa"/>
        <w:tblBorders>
          <w:top w:val="single" w:sz="4" w:space="0" w:color="808080"/>
          <w:bottom w:val="single" w:sz="4" w:space="0" w:color="999999"/>
          <w:insideH w:val="single" w:sz="4" w:space="0" w:color="808080"/>
        </w:tblBorders>
        <w:tblLayout w:type="fixed"/>
        <w:tblLook w:val="0000" w:firstRow="0" w:lastRow="0" w:firstColumn="0" w:lastColumn="0" w:noHBand="0" w:noVBand="0"/>
      </w:tblPr>
      <w:tblGrid>
        <w:gridCol w:w="2988"/>
        <w:gridCol w:w="3600"/>
        <w:gridCol w:w="2952"/>
      </w:tblGrid>
      <w:tr w:rsidR="00B85400" w:rsidRPr="00AC3E4C" w14:paraId="19FD79D0" w14:textId="77777777" w:rsidTr="00AC3E4C">
        <w:tc>
          <w:tcPr>
            <w:tcW w:w="2988" w:type="dxa"/>
            <w:tcBorders>
              <w:top w:val="single" w:sz="4" w:space="0" w:color="C0C0C0"/>
              <w:bottom w:val="nil"/>
            </w:tcBorders>
            <w:shd w:val="clear" w:color="auto" w:fill="00703C"/>
          </w:tcPr>
          <w:p w14:paraId="53D0231B" w14:textId="77777777" w:rsidR="00B85400" w:rsidRPr="00AC3E4C" w:rsidRDefault="00B85400" w:rsidP="00AC3E4C">
            <w:pPr>
              <w:keepNext/>
              <w:spacing w:before="60" w:after="60"/>
              <w:rPr>
                <w:rFonts w:ascii="Arial" w:hAnsi="Arial" w:cs="Arial"/>
                <w:bCs/>
                <w:color w:val="FFFFFF"/>
                <w:sz w:val="22"/>
                <w:szCs w:val="22"/>
              </w:rPr>
            </w:pPr>
            <w:r w:rsidRPr="00AC3E4C">
              <w:rPr>
                <w:rFonts w:ascii="Arial" w:hAnsi="Arial" w:cs="Arial"/>
                <w:bCs/>
                <w:color w:val="FFFFFF"/>
                <w:sz w:val="22"/>
                <w:szCs w:val="22"/>
              </w:rPr>
              <w:t>External</w:t>
            </w:r>
          </w:p>
        </w:tc>
        <w:tc>
          <w:tcPr>
            <w:tcW w:w="3600" w:type="dxa"/>
            <w:tcBorders>
              <w:top w:val="single" w:sz="4" w:space="0" w:color="C0C0C0"/>
              <w:bottom w:val="nil"/>
            </w:tcBorders>
            <w:shd w:val="clear" w:color="auto" w:fill="00703C"/>
          </w:tcPr>
          <w:p w14:paraId="72DFAE1A" w14:textId="77777777" w:rsidR="00B85400" w:rsidRPr="00AC3E4C" w:rsidRDefault="00B85400" w:rsidP="00AC3E4C">
            <w:pPr>
              <w:keepNext/>
              <w:spacing w:before="60" w:after="60"/>
              <w:jc w:val="both"/>
              <w:rPr>
                <w:rFonts w:ascii="Arial" w:hAnsi="Arial" w:cs="Arial"/>
                <w:bCs/>
                <w:color w:val="FFFFFF"/>
                <w:sz w:val="22"/>
                <w:szCs w:val="22"/>
              </w:rPr>
            </w:pPr>
            <w:r w:rsidRPr="00AC3E4C">
              <w:rPr>
                <w:rFonts w:ascii="Arial" w:hAnsi="Arial" w:cs="Arial"/>
                <w:bCs/>
                <w:color w:val="FFFFFF"/>
                <w:sz w:val="22"/>
                <w:szCs w:val="22"/>
              </w:rPr>
              <w:t>Internal</w:t>
            </w:r>
          </w:p>
        </w:tc>
        <w:tc>
          <w:tcPr>
            <w:tcW w:w="2952" w:type="dxa"/>
            <w:tcBorders>
              <w:top w:val="single" w:sz="4" w:space="0" w:color="C0C0C0"/>
              <w:bottom w:val="nil"/>
            </w:tcBorders>
            <w:shd w:val="clear" w:color="auto" w:fill="00703C"/>
          </w:tcPr>
          <w:p w14:paraId="0A271FD9" w14:textId="77777777" w:rsidR="00B85400" w:rsidRPr="00AC3E4C" w:rsidRDefault="00B85400" w:rsidP="00AC3E4C">
            <w:pPr>
              <w:keepNext/>
              <w:spacing w:before="60" w:after="60"/>
              <w:jc w:val="both"/>
              <w:rPr>
                <w:rFonts w:ascii="Arial" w:hAnsi="Arial" w:cs="Arial"/>
                <w:bCs/>
                <w:color w:val="FFFFFF"/>
                <w:sz w:val="22"/>
                <w:szCs w:val="22"/>
              </w:rPr>
            </w:pPr>
            <w:r w:rsidRPr="00AC3E4C">
              <w:rPr>
                <w:rFonts w:ascii="Arial" w:hAnsi="Arial" w:cs="Arial"/>
                <w:bCs/>
                <w:color w:val="FFFFFF"/>
                <w:sz w:val="22"/>
                <w:szCs w:val="22"/>
              </w:rPr>
              <w:t>Committees/Groups</w:t>
            </w:r>
          </w:p>
        </w:tc>
      </w:tr>
      <w:tr w:rsidR="00C46FE5" w:rsidRPr="00AC3E4C" w14:paraId="664CDB86" w14:textId="77777777" w:rsidTr="00AC3E4C">
        <w:tc>
          <w:tcPr>
            <w:tcW w:w="2988" w:type="dxa"/>
            <w:tcBorders>
              <w:top w:val="nil"/>
              <w:bottom w:val="nil"/>
            </w:tcBorders>
          </w:tcPr>
          <w:p w14:paraId="2C36D9F6" w14:textId="66AD4601" w:rsidR="009A2738" w:rsidRPr="00AC3E4C" w:rsidRDefault="00533128" w:rsidP="00AC3E4C">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Pr>
                <w:rFonts w:ascii="Arial" w:hAnsi="Arial" w:cs="Arial"/>
                <w:sz w:val="20"/>
                <w:szCs w:val="20"/>
                <w:lang w:val="en-NZ"/>
              </w:rPr>
              <w:t>Data, Information Vendors &amp; Service Providers</w:t>
            </w:r>
          </w:p>
          <w:p w14:paraId="49B1EFD0" w14:textId="36551D43" w:rsidR="00C46FE5" w:rsidRPr="002075CB" w:rsidRDefault="00533128" w:rsidP="002075CB">
            <w:pPr>
              <w:numPr>
                <w:ilvl w:val="0"/>
                <w:numId w:val="3"/>
              </w:numPr>
              <w:tabs>
                <w:tab w:val="clear" w:pos="720"/>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Pr>
                <w:rFonts w:ascii="Arial" w:hAnsi="Arial" w:cs="Arial"/>
                <w:sz w:val="20"/>
                <w:szCs w:val="20"/>
                <w:lang w:val="en-NZ"/>
              </w:rPr>
              <w:t xml:space="preserve">Industry and professional </w:t>
            </w:r>
            <w:r w:rsidR="002425FA">
              <w:rPr>
                <w:rFonts w:ascii="Arial" w:hAnsi="Arial" w:cs="Arial"/>
                <w:sz w:val="20"/>
                <w:szCs w:val="20"/>
                <w:lang w:val="en-NZ"/>
              </w:rPr>
              <w:t>gr</w:t>
            </w:r>
            <w:r>
              <w:rPr>
                <w:rFonts w:ascii="Arial" w:hAnsi="Arial" w:cs="Arial"/>
                <w:sz w:val="20"/>
                <w:szCs w:val="20"/>
                <w:lang w:val="en-NZ"/>
              </w:rPr>
              <w:t>oups</w:t>
            </w:r>
          </w:p>
        </w:tc>
        <w:tc>
          <w:tcPr>
            <w:tcW w:w="3600" w:type="dxa"/>
            <w:tcBorders>
              <w:top w:val="nil"/>
              <w:bottom w:val="nil"/>
            </w:tcBorders>
          </w:tcPr>
          <w:p w14:paraId="0BCDC862" w14:textId="2C7B9C4E" w:rsidR="00B92C30" w:rsidRPr="008747F9" w:rsidRDefault="001054D7" w:rsidP="008747F9">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Pr>
                <w:rFonts w:ascii="Arial" w:hAnsi="Arial" w:cs="Arial"/>
                <w:sz w:val="20"/>
                <w:szCs w:val="20"/>
                <w:lang w:val="en-NZ"/>
              </w:rPr>
              <w:t>DIA Leadership Team</w:t>
            </w:r>
          </w:p>
          <w:p w14:paraId="4A49E716" w14:textId="75DE45D0" w:rsidR="009A2738" w:rsidRDefault="00986E7E" w:rsidP="00AC3E4C">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Pr>
                <w:rFonts w:ascii="Arial" w:hAnsi="Arial" w:cs="Arial"/>
                <w:sz w:val="20"/>
                <w:szCs w:val="20"/>
                <w:lang w:val="en-NZ"/>
              </w:rPr>
              <w:t>Mutual Leaders</w:t>
            </w:r>
          </w:p>
          <w:p w14:paraId="60C42EC2" w14:textId="7D626199" w:rsidR="00986E7E" w:rsidRDefault="00986E7E" w:rsidP="00AC3E4C">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Pr>
                <w:rFonts w:ascii="Arial" w:hAnsi="Arial" w:cs="Arial"/>
                <w:sz w:val="20"/>
                <w:szCs w:val="20"/>
                <w:lang w:val="en-NZ"/>
              </w:rPr>
              <w:t>Delivery Leaders</w:t>
            </w:r>
          </w:p>
          <w:p w14:paraId="48120CCC" w14:textId="7E56E95A" w:rsidR="00056E76" w:rsidRDefault="00056E76" w:rsidP="00AC3E4C">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Pr>
                <w:rFonts w:ascii="Arial" w:hAnsi="Arial" w:cs="Arial"/>
                <w:sz w:val="20"/>
                <w:szCs w:val="20"/>
                <w:lang w:val="en-NZ"/>
              </w:rPr>
              <w:t>Enterprise Architecture</w:t>
            </w:r>
          </w:p>
          <w:p w14:paraId="147B51AF" w14:textId="5CA1F173" w:rsidR="00056E76" w:rsidRDefault="00056E76" w:rsidP="00AC3E4C">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Pr>
                <w:rFonts w:ascii="Arial" w:hAnsi="Arial" w:cs="Arial"/>
                <w:sz w:val="20"/>
                <w:szCs w:val="20"/>
                <w:lang w:val="en-NZ"/>
              </w:rPr>
              <w:t xml:space="preserve">Privacy, Risk, Security, </w:t>
            </w:r>
            <w:r>
              <w:rPr>
                <w:rFonts w:ascii="Arial" w:hAnsi="Arial" w:cs="Arial"/>
                <w:sz w:val="20"/>
                <w:szCs w:val="20"/>
                <w:lang w:val="en-NZ"/>
              </w:rPr>
              <w:lastRenderedPageBreak/>
              <w:t>Compliance and Legal</w:t>
            </w:r>
          </w:p>
          <w:p w14:paraId="2899417D" w14:textId="237EBF88" w:rsidR="002425FA" w:rsidRPr="00AC3E4C" w:rsidRDefault="002425FA" w:rsidP="00AC3E4C">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Pr>
                <w:rFonts w:ascii="Arial" w:hAnsi="Arial" w:cs="Arial"/>
                <w:sz w:val="20"/>
                <w:szCs w:val="20"/>
                <w:lang w:val="en-NZ"/>
              </w:rPr>
              <w:t>Business &amp; Product Owners</w:t>
            </w:r>
          </w:p>
          <w:p w14:paraId="75B87B07" w14:textId="359AB5AA" w:rsidR="0011012D" w:rsidRDefault="0011012D" w:rsidP="00AC3E4C">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sidRPr="0011012D">
              <w:rPr>
                <w:rFonts w:ascii="Arial" w:hAnsi="Arial" w:cs="Arial"/>
                <w:sz w:val="20"/>
                <w:szCs w:val="20"/>
                <w:lang w:val="en-NZ"/>
              </w:rPr>
              <w:t>Digital and Data teams</w:t>
            </w:r>
          </w:p>
          <w:p w14:paraId="44B5655F" w14:textId="77777777" w:rsidR="00C46FE5" w:rsidRPr="00191E5F" w:rsidRDefault="009A2738" w:rsidP="00AC3E4C">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sidRPr="00AC3E4C">
              <w:rPr>
                <w:rFonts w:ascii="Arial" w:hAnsi="Arial" w:cs="Arial"/>
                <w:sz w:val="20"/>
                <w:szCs w:val="20"/>
                <w:lang w:val="en-NZ"/>
              </w:rPr>
              <w:t>Project Sponsors, Stakeholders, steering group members</w:t>
            </w:r>
          </w:p>
          <w:p w14:paraId="09F22A07" w14:textId="7DFECC4B" w:rsidR="00191E5F" w:rsidRPr="00AC3E4C" w:rsidRDefault="00191E5F" w:rsidP="00AC3E4C">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sidRPr="00B95F00">
              <w:rPr>
                <w:rFonts w:ascii="Arial" w:hAnsi="Arial" w:cs="Arial"/>
                <w:sz w:val="20"/>
                <w:szCs w:val="20"/>
                <w:lang w:val="en-NZ"/>
              </w:rPr>
              <w:t xml:space="preserve">Working </w:t>
            </w:r>
            <w:r>
              <w:rPr>
                <w:rFonts w:ascii="Arial" w:hAnsi="Arial" w:cs="Arial"/>
                <w:sz w:val="20"/>
                <w:szCs w:val="20"/>
                <w:lang w:val="en-NZ"/>
              </w:rPr>
              <w:t>groups, committees</w:t>
            </w:r>
            <w:r w:rsidRPr="00B95F00">
              <w:rPr>
                <w:rFonts w:ascii="Arial" w:hAnsi="Arial" w:cs="Arial"/>
                <w:sz w:val="20"/>
                <w:szCs w:val="20"/>
                <w:lang w:val="en-NZ"/>
              </w:rPr>
              <w:t xml:space="preserve"> and cross</w:t>
            </w:r>
            <w:r w:rsidRPr="00B95F00">
              <w:rPr>
                <w:rFonts w:ascii="Arial" w:hAnsi="Arial" w:cs="Arial"/>
                <w:sz w:val="20"/>
                <w:szCs w:val="20"/>
                <w:lang w:val="en-NZ"/>
              </w:rPr>
              <w:noBreakHyphen/>
              <w:t>functional groups supporting analytics and insight delivery</w:t>
            </w:r>
          </w:p>
        </w:tc>
        <w:tc>
          <w:tcPr>
            <w:tcW w:w="2952" w:type="dxa"/>
            <w:tcBorders>
              <w:top w:val="nil"/>
              <w:bottom w:val="nil"/>
            </w:tcBorders>
          </w:tcPr>
          <w:p w14:paraId="2A42F8BB" w14:textId="46748BE3" w:rsidR="00C46FE5" w:rsidRPr="006F2E7B" w:rsidRDefault="00F8360C" w:rsidP="006F2E7B">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Pr>
                <w:rFonts w:ascii="Arial" w:hAnsi="Arial" w:cs="Arial"/>
                <w:sz w:val="20"/>
                <w:szCs w:val="20"/>
                <w:lang w:val="en-NZ"/>
              </w:rPr>
              <w:lastRenderedPageBreak/>
              <w:t xml:space="preserve">Information </w:t>
            </w:r>
            <w:r w:rsidR="00986E7E">
              <w:rPr>
                <w:rFonts w:ascii="Arial" w:hAnsi="Arial" w:cs="Arial"/>
                <w:sz w:val="20"/>
                <w:szCs w:val="20"/>
                <w:lang w:val="en-NZ"/>
              </w:rPr>
              <w:t>and Data Governance Committee (as required)</w:t>
            </w:r>
          </w:p>
        </w:tc>
      </w:tr>
    </w:tbl>
    <w:p w14:paraId="2D8E895C" w14:textId="77777777" w:rsidR="00B85400" w:rsidRPr="005B09D5" w:rsidRDefault="00AE5B7A" w:rsidP="00B85400">
      <w:pPr>
        <w:rPr>
          <w:rFonts w:ascii="Arial" w:hAnsi="Arial" w:cs="Arial"/>
        </w:rPr>
      </w:pPr>
      <w:r>
        <w:rPr>
          <w:rFonts w:ascii="Arial" w:hAnsi="Arial" w:cs="Arial"/>
        </w:rPr>
        <w:pict w14:anchorId="5C59C683">
          <v:rect id="_x0000_i1030" style="width:470.2pt;height:1pt" o:hralign="center" o:hrstd="t" o:hrnoshade="t" o:hr="t" fillcolor="silver" stroked="f"/>
        </w:pict>
      </w:r>
    </w:p>
    <w:p w14:paraId="5038548E" w14:textId="77777777" w:rsidR="00344F32" w:rsidRPr="005B09D5" w:rsidRDefault="00344F32" w:rsidP="00511329">
      <w:pPr>
        <w:pStyle w:val="Heading3"/>
        <w:spacing w:after="240"/>
        <w:jc w:val="both"/>
        <w:rPr>
          <w:i/>
          <w:color w:val="00703C"/>
          <w:sz w:val="28"/>
          <w:szCs w:val="28"/>
        </w:rPr>
      </w:pPr>
      <w:r w:rsidRPr="005B09D5">
        <w:rPr>
          <w:i/>
          <w:color w:val="00703C"/>
          <w:sz w:val="28"/>
          <w:szCs w:val="28"/>
        </w:rPr>
        <w:t>Financial Authority Levels</w:t>
      </w:r>
    </w:p>
    <w:p w14:paraId="6D4D1487" w14:textId="6EE8335D" w:rsidR="00333F65" w:rsidRPr="00333F65" w:rsidRDefault="00333F65" w:rsidP="00333F65">
      <w:pPr>
        <w:pStyle w:val="Heading3"/>
        <w:numPr>
          <w:ilvl w:val="0"/>
          <w:numId w:val="14"/>
        </w:numPr>
        <w:spacing w:after="240"/>
        <w:jc w:val="both"/>
        <w:rPr>
          <w:b w:val="0"/>
          <w:bCs w:val="0"/>
          <w:sz w:val="20"/>
          <w:szCs w:val="20"/>
          <w:lang w:val="en-NZ"/>
        </w:rPr>
      </w:pPr>
      <w:r w:rsidRPr="00333F65">
        <w:rPr>
          <w:b w:val="0"/>
          <w:bCs w:val="0"/>
          <w:sz w:val="20"/>
          <w:szCs w:val="20"/>
          <w:lang w:val="en-NZ"/>
        </w:rPr>
        <w:t xml:space="preserve">This role does not have independent authority to approve or commit expenditure. </w:t>
      </w:r>
    </w:p>
    <w:p w14:paraId="41197366" w14:textId="377BC0CC" w:rsidR="00333F65" w:rsidRPr="00333F65" w:rsidRDefault="00333F65" w:rsidP="00333F65">
      <w:pPr>
        <w:pStyle w:val="Heading3"/>
        <w:numPr>
          <w:ilvl w:val="0"/>
          <w:numId w:val="14"/>
        </w:numPr>
        <w:spacing w:after="240"/>
        <w:jc w:val="both"/>
        <w:rPr>
          <w:b w:val="0"/>
          <w:bCs w:val="0"/>
          <w:sz w:val="20"/>
          <w:szCs w:val="20"/>
          <w:lang w:val="en-NZ"/>
        </w:rPr>
      </w:pPr>
      <w:r w:rsidRPr="00333F65">
        <w:rPr>
          <w:b w:val="0"/>
          <w:bCs w:val="0"/>
          <w:sz w:val="20"/>
          <w:szCs w:val="20"/>
          <w:lang w:val="en-NZ"/>
        </w:rPr>
        <w:t xml:space="preserve">All financial commitments must be made in accordance with FMG’s Delegation of Financial Authority (DFA) and within approved budgets. </w:t>
      </w:r>
    </w:p>
    <w:p w14:paraId="086CDE0F" w14:textId="2BE558AD" w:rsidR="00333F65" w:rsidRPr="00333F65" w:rsidRDefault="00333F65" w:rsidP="00333F65">
      <w:pPr>
        <w:pStyle w:val="Heading3"/>
        <w:numPr>
          <w:ilvl w:val="0"/>
          <w:numId w:val="14"/>
        </w:numPr>
        <w:spacing w:after="240"/>
        <w:jc w:val="both"/>
        <w:rPr>
          <w:b w:val="0"/>
          <w:bCs w:val="0"/>
          <w:sz w:val="20"/>
          <w:szCs w:val="20"/>
          <w:lang w:val="en-NZ"/>
        </w:rPr>
      </w:pPr>
      <w:r w:rsidRPr="00333F65">
        <w:rPr>
          <w:b w:val="0"/>
          <w:bCs w:val="0"/>
          <w:sz w:val="20"/>
          <w:szCs w:val="20"/>
          <w:lang w:val="en-NZ"/>
        </w:rPr>
        <w:t>Any expenditure outside delegated authority must be escalated for approval in line with FMG policy</w:t>
      </w:r>
    </w:p>
    <w:p w14:paraId="72F72059" w14:textId="77777777" w:rsidR="00732D4A" w:rsidRPr="005B09D5" w:rsidRDefault="00732D4A" w:rsidP="00511329">
      <w:pPr>
        <w:pStyle w:val="Heading3"/>
        <w:spacing w:after="240"/>
        <w:jc w:val="both"/>
        <w:rPr>
          <w:i/>
          <w:color w:val="00703C"/>
          <w:sz w:val="28"/>
          <w:szCs w:val="28"/>
        </w:rPr>
      </w:pPr>
      <w:r w:rsidRPr="005B09D5">
        <w:rPr>
          <w:i/>
          <w:color w:val="00703C"/>
          <w:sz w:val="28"/>
          <w:szCs w:val="28"/>
        </w:rPr>
        <w:t>Human Resources Authority Levels</w:t>
      </w:r>
    </w:p>
    <w:p w14:paraId="0DA0F2A4" w14:textId="77777777" w:rsidR="009E4D68" w:rsidRPr="00DA4E57" w:rsidRDefault="009E4D68" w:rsidP="003C284B">
      <w:pPr>
        <w:numPr>
          <w:ilvl w:val="0"/>
          <w:numId w:val="2"/>
        </w:numPr>
        <w:spacing w:before="120" w:after="120"/>
        <w:ind w:left="714" w:hanging="357"/>
        <w:jc w:val="both"/>
        <w:rPr>
          <w:rFonts w:ascii="Arial" w:hAnsi="Arial" w:cs="Arial"/>
          <w:sz w:val="20"/>
          <w:szCs w:val="20"/>
        </w:rPr>
      </w:pPr>
      <w:r w:rsidRPr="00DA4E57">
        <w:rPr>
          <w:rFonts w:ascii="Arial" w:hAnsi="Arial" w:cs="Arial"/>
          <w:sz w:val="20"/>
          <w:szCs w:val="20"/>
        </w:rPr>
        <w:t>May hire direct and indirect reports within approved FTE headcounts.</w:t>
      </w:r>
    </w:p>
    <w:p w14:paraId="72893E3D" w14:textId="77777777" w:rsidR="009E4D68" w:rsidRPr="00DA4E57" w:rsidRDefault="009E4D68" w:rsidP="003C284B">
      <w:pPr>
        <w:numPr>
          <w:ilvl w:val="0"/>
          <w:numId w:val="2"/>
        </w:numPr>
        <w:spacing w:before="120" w:after="120"/>
        <w:ind w:left="714" w:hanging="357"/>
        <w:jc w:val="both"/>
        <w:rPr>
          <w:rFonts w:ascii="Arial" w:hAnsi="Arial" w:cs="Arial"/>
          <w:sz w:val="20"/>
          <w:szCs w:val="20"/>
        </w:rPr>
      </w:pPr>
      <w:r w:rsidRPr="00DA4E57">
        <w:rPr>
          <w:rFonts w:ascii="Arial" w:hAnsi="Arial" w:cs="Arial"/>
          <w:sz w:val="20"/>
          <w:szCs w:val="20"/>
        </w:rPr>
        <w:t>May discipline direct and indirect reports in consultation with manager and Human Resources.</w:t>
      </w:r>
    </w:p>
    <w:p w14:paraId="1625A100" w14:textId="540EF755" w:rsidR="009E4D68" w:rsidRPr="00DA4E57" w:rsidRDefault="009E4D68" w:rsidP="003C284B">
      <w:pPr>
        <w:numPr>
          <w:ilvl w:val="0"/>
          <w:numId w:val="2"/>
        </w:numPr>
        <w:spacing w:before="120" w:after="120"/>
        <w:ind w:left="714" w:hanging="357"/>
        <w:jc w:val="both"/>
        <w:rPr>
          <w:rFonts w:ascii="Arial" w:hAnsi="Arial" w:cs="Arial"/>
          <w:sz w:val="20"/>
          <w:szCs w:val="20"/>
        </w:rPr>
      </w:pPr>
      <w:r w:rsidRPr="00DA4E57">
        <w:rPr>
          <w:rFonts w:ascii="Arial" w:hAnsi="Arial" w:cs="Arial"/>
          <w:sz w:val="20"/>
          <w:szCs w:val="20"/>
        </w:rPr>
        <w:t xml:space="preserve">No authority to dismiss staff, unless delegated by the Chief Executive and in consultation with </w:t>
      </w:r>
      <w:r w:rsidR="00DA4E57" w:rsidRPr="00DA4E57">
        <w:rPr>
          <w:rFonts w:ascii="Arial" w:hAnsi="Arial" w:cs="Arial"/>
          <w:sz w:val="20"/>
          <w:szCs w:val="20"/>
        </w:rPr>
        <w:t xml:space="preserve">the </w:t>
      </w:r>
      <w:r w:rsidR="00CA789B">
        <w:rPr>
          <w:rFonts w:ascii="Arial" w:hAnsi="Arial" w:cs="Arial"/>
          <w:sz w:val="20"/>
          <w:szCs w:val="20"/>
        </w:rPr>
        <w:t xml:space="preserve">Chief Digital and </w:t>
      </w:r>
      <w:r w:rsidR="00E832BB">
        <w:rPr>
          <w:rFonts w:ascii="Arial" w:hAnsi="Arial" w:cs="Arial"/>
          <w:sz w:val="20"/>
          <w:szCs w:val="20"/>
        </w:rPr>
        <w:t>Data Officer</w:t>
      </w:r>
      <w:r w:rsidR="00DA4E57" w:rsidRPr="00DA4E57">
        <w:rPr>
          <w:rFonts w:ascii="Arial" w:hAnsi="Arial" w:cs="Arial"/>
          <w:sz w:val="20"/>
          <w:szCs w:val="20"/>
        </w:rPr>
        <w:t xml:space="preserve">, Head of </w:t>
      </w:r>
      <w:r w:rsidR="00E832BB">
        <w:rPr>
          <w:rFonts w:ascii="Arial" w:hAnsi="Arial" w:cs="Arial"/>
          <w:sz w:val="20"/>
          <w:szCs w:val="20"/>
        </w:rPr>
        <w:t>Data, Information &amp; Analytics</w:t>
      </w:r>
      <w:r w:rsidR="00DA4E57" w:rsidRPr="00DA4E57">
        <w:rPr>
          <w:rFonts w:ascii="Arial" w:hAnsi="Arial" w:cs="Arial"/>
          <w:sz w:val="20"/>
          <w:szCs w:val="20"/>
        </w:rPr>
        <w:t xml:space="preserve">, </w:t>
      </w:r>
      <w:r w:rsidRPr="00DA4E57">
        <w:rPr>
          <w:rFonts w:ascii="Arial" w:hAnsi="Arial" w:cs="Arial"/>
          <w:sz w:val="20"/>
          <w:szCs w:val="20"/>
        </w:rPr>
        <w:t xml:space="preserve">and </w:t>
      </w:r>
      <w:r w:rsidR="00DA4E57" w:rsidRPr="00DA4E57">
        <w:rPr>
          <w:rFonts w:ascii="Arial" w:hAnsi="Arial" w:cs="Arial"/>
          <w:sz w:val="20"/>
          <w:szCs w:val="20"/>
        </w:rPr>
        <w:t>People and Culture</w:t>
      </w:r>
      <w:r w:rsidRPr="00DA4E57">
        <w:rPr>
          <w:rFonts w:ascii="Arial" w:hAnsi="Arial" w:cs="Arial"/>
          <w:sz w:val="20"/>
          <w:szCs w:val="20"/>
        </w:rPr>
        <w:t>.</w:t>
      </w:r>
    </w:p>
    <w:p w14:paraId="3C9E33C6" w14:textId="77777777" w:rsidR="00B85400" w:rsidRPr="005B09D5" w:rsidRDefault="00AE5B7A" w:rsidP="00B85400">
      <w:pPr>
        <w:tabs>
          <w:tab w:val="left" w:pos="1800"/>
        </w:tabs>
        <w:spacing w:before="120" w:after="120"/>
        <w:rPr>
          <w:rFonts w:ascii="Arial" w:hAnsi="Arial" w:cs="Arial"/>
        </w:rPr>
      </w:pPr>
      <w:r>
        <w:rPr>
          <w:rFonts w:ascii="Arial" w:hAnsi="Arial" w:cs="Arial"/>
        </w:rPr>
        <w:pict w14:anchorId="57E72B1F">
          <v:rect id="_x0000_i1031" style="width:470.2pt;height:1pt" o:hralign="center" o:hrstd="t" o:hrnoshade="t" o:hr="t" fillcolor="silver" stroked="f"/>
        </w:pict>
      </w:r>
    </w:p>
    <w:p w14:paraId="1C35044E" w14:textId="77777777" w:rsidR="0089439A" w:rsidRPr="005B09D5" w:rsidRDefault="00106A67" w:rsidP="00106A67">
      <w:pPr>
        <w:pStyle w:val="Heading3"/>
        <w:spacing w:before="120"/>
        <w:jc w:val="both"/>
        <w:rPr>
          <w:i/>
          <w:color w:val="00703C"/>
          <w:sz w:val="28"/>
          <w:szCs w:val="28"/>
        </w:rPr>
      </w:pPr>
      <w:r w:rsidRPr="005B09D5">
        <w:rPr>
          <w:i/>
          <w:color w:val="00703C"/>
          <w:sz w:val="28"/>
          <w:szCs w:val="28"/>
        </w:rPr>
        <w:t>Agreement</w:t>
      </w:r>
    </w:p>
    <w:p w14:paraId="38F2E1DA" w14:textId="77777777" w:rsidR="0089439A" w:rsidRPr="005B09D5" w:rsidRDefault="0089439A" w:rsidP="0089439A">
      <w:pPr>
        <w:jc w:val="both"/>
        <w:rPr>
          <w:rFonts w:ascii="Arial" w:hAnsi="Arial" w:cs="Arial"/>
          <w:sz w:val="20"/>
          <w:szCs w:val="20"/>
        </w:rPr>
      </w:pPr>
      <w:r w:rsidRPr="005B09D5">
        <w:rPr>
          <w:rFonts w:ascii="Arial" w:hAnsi="Arial" w:cs="Arial"/>
          <w:sz w:val="20"/>
          <w:szCs w:val="20"/>
        </w:rPr>
        <w:t xml:space="preserve">I agree to the outline of the role as contained in this document and </w:t>
      </w:r>
      <w:r w:rsidR="00677F02" w:rsidRPr="005B09D5">
        <w:rPr>
          <w:rFonts w:ascii="Arial" w:hAnsi="Arial" w:cs="Arial"/>
          <w:sz w:val="20"/>
          <w:szCs w:val="20"/>
        </w:rPr>
        <w:t xml:space="preserve">recognise that the contents </w:t>
      </w:r>
      <w:r w:rsidRPr="005B09D5">
        <w:rPr>
          <w:rFonts w:ascii="Arial" w:hAnsi="Arial" w:cs="Arial"/>
          <w:sz w:val="20"/>
          <w:szCs w:val="20"/>
        </w:rPr>
        <w:t>may need to be amended from time to time to reflect changing business requirements.</w:t>
      </w:r>
    </w:p>
    <w:p w14:paraId="58CF46E7" w14:textId="77777777" w:rsidR="0089439A" w:rsidRPr="005B09D5" w:rsidRDefault="0089439A" w:rsidP="0089439A">
      <w:pPr>
        <w:jc w:val="both"/>
        <w:rPr>
          <w:rFonts w:ascii="Arial" w:hAnsi="Arial" w:cs="Arial"/>
          <w:sz w:val="20"/>
          <w:szCs w:val="20"/>
        </w:rPr>
      </w:pPr>
    </w:p>
    <w:p w14:paraId="22DFFC8A" w14:textId="77777777" w:rsidR="000852A5" w:rsidRPr="005B09D5" w:rsidRDefault="0089439A" w:rsidP="0089439A">
      <w:pPr>
        <w:jc w:val="both"/>
        <w:rPr>
          <w:rFonts w:ascii="Arial" w:hAnsi="Arial" w:cs="Arial"/>
          <w:sz w:val="20"/>
          <w:szCs w:val="20"/>
        </w:rPr>
      </w:pPr>
      <w:r w:rsidRPr="005B09D5">
        <w:rPr>
          <w:rFonts w:ascii="Arial" w:hAnsi="Arial" w:cs="Arial"/>
          <w:sz w:val="20"/>
          <w:szCs w:val="20"/>
        </w:rPr>
        <w:t>I as Job holder, allow my Manager to gather information from third parties where necessary for the purposes of performance management.</w:t>
      </w:r>
    </w:p>
    <w:p w14:paraId="05E7EDD6" w14:textId="77777777" w:rsidR="0089439A" w:rsidRPr="005B09D5" w:rsidRDefault="0089439A" w:rsidP="0089439A">
      <w:pPr>
        <w:jc w:val="both"/>
        <w:rPr>
          <w:rFonts w:ascii="Arial" w:hAnsi="Arial" w:cs="Arial"/>
        </w:rPr>
      </w:pPr>
    </w:p>
    <w:tbl>
      <w:tblPr>
        <w:tblW w:w="0" w:type="auto"/>
        <w:tblLook w:val="01E0" w:firstRow="1" w:lastRow="1" w:firstColumn="1" w:lastColumn="1" w:noHBand="0" w:noVBand="0"/>
      </w:tblPr>
      <w:tblGrid>
        <w:gridCol w:w="4734"/>
        <w:gridCol w:w="4734"/>
      </w:tblGrid>
      <w:tr w:rsidR="00B85400" w:rsidRPr="00AC3E4C" w14:paraId="56CFB041" w14:textId="77777777" w:rsidTr="00AC3E4C">
        <w:trPr>
          <w:trHeight w:val="693"/>
        </w:trPr>
        <w:tc>
          <w:tcPr>
            <w:tcW w:w="4734" w:type="dxa"/>
          </w:tcPr>
          <w:p w14:paraId="2D9BEAF5" w14:textId="05B3C8EB" w:rsidR="00B85400" w:rsidRPr="00AC3E4C" w:rsidRDefault="00D51F6C" w:rsidP="00AC3E4C">
            <w:pPr>
              <w:tabs>
                <w:tab w:val="left" w:pos="1800"/>
              </w:tabs>
              <w:spacing w:before="120" w:after="120"/>
              <w:jc w:val="right"/>
              <w:rPr>
                <w:rFonts w:ascii="Arial" w:hAnsi="Arial" w:cs="Arial"/>
                <w:sz w:val="20"/>
                <w:szCs w:val="20"/>
              </w:rPr>
            </w:pPr>
            <w:r>
              <w:rPr>
                <w:rFonts w:ascii="Arial" w:hAnsi="Arial" w:cs="Arial"/>
                <w:sz w:val="20"/>
                <w:szCs w:val="20"/>
              </w:rPr>
              <w:t>Data &amp; Information Governance Managers’</w:t>
            </w:r>
            <w:r w:rsidR="009A2738" w:rsidRPr="00AC3E4C">
              <w:rPr>
                <w:rFonts w:ascii="Arial" w:hAnsi="Arial" w:cs="Arial"/>
                <w:sz w:val="20"/>
                <w:szCs w:val="20"/>
              </w:rPr>
              <w:t xml:space="preserve"> </w:t>
            </w:r>
            <w:r w:rsidR="00B85400" w:rsidRPr="00AC3E4C">
              <w:rPr>
                <w:rFonts w:ascii="Arial" w:hAnsi="Arial" w:cs="Arial"/>
                <w:sz w:val="20"/>
                <w:szCs w:val="20"/>
              </w:rPr>
              <w:t>Name:</w:t>
            </w:r>
          </w:p>
        </w:tc>
        <w:tc>
          <w:tcPr>
            <w:tcW w:w="4734" w:type="dxa"/>
            <w:tcBorders>
              <w:bottom w:val="single" w:sz="4" w:space="0" w:color="auto"/>
            </w:tcBorders>
          </w:tcPr>
          <w:p w14:paraId="51918608" w14:textId="77777777" w:rsidR="00B85400" w:rsidRPr="00AC3E4C" w:rsidRDefault="00B85400" w:rsidP="00AC3E4C">
            <w:pPr>
              <w:tabs>
                <w:tab w:val="left" w:pos="1800"/>
              </w:tabs>
              <w:spacing w:before="120" w:after="120"/>
              <w:rPr>
                <w:rFonts w:ascii="Arial" w:hAnsi="Arial" w:cs="Arial"/>
                <w:b/>
                <w:sz w:val="20"/>
                <w:szCs w:val="20"/>
              </w:rPr>
            </w:pPr>
          </w:p>
        </w:tc>
      </w:tr>
      <w:tr w:rsidR="00B85400" w:rsidRPr="00AC3E4C" w14:paraId="63D23D04" w14:textId="77777777" w:rsidTr="00AC3E4C">
        <w:trPr>
          <w:trHeight w:val="411"/>
        </w:trPr>
        <w:tc>
          <w:tcPr>
            <w:tcW w:w="4734" w:type="dxa"/>
          </w:tcPr>
          <w:p w14:paraId="78A99529" w14:textId="77777777" w:rsidR="00B85400" w:rsidRPr="00AC3E4C" w:rsidRDefault="00B85400" w:rsidP="00AC3E4C">
            <w:pPr>
              <w:tabs>
                <w:tab w:val="left" w:pos="1800"/>
              </w:tabs>
              <w:spacing w:before="120" w:after="120"/>
              <w:jc w:val="right"/>
              <w:rPr>
                <w:rFonts w:ascii="Arial" w:hAnsi="Arial" w:cs="Arial"/>
                <w:sz w:val="20"/>
                <w:szCs w:val="20"/>
              </w:rPr>
            </w:pPr>
            <w:r w:rsidRPr="00AC3E4C">
              <w:rPr>
                <w:rFonts w:ascii="Arial" w:hAnsi="Arial" w:cs="Arial"/>
                <w:sz w:val="20"/>
                <w:szCs w:val="20"/>
              </w:rPr>
              <w:t>Signature:</w:t>
            </w:r>
          </w:p>
        </w:tc>
        <w:tc>
          <w:tcPr>
            <w:tcW w:w="4734" w:type="dxa"/>
            <w:tcBorders>
              <w:top w:val="single" w:sz="4" w:space="0" w:color="auto"/>
              <w:bottom w:val="single" w:sz="4" w:space="0" w:color="auto"/>
            </w:tcBorders>
          </w:tcPr>
          <w:p w14:paraId="1CCC4726" w14:textId="77777777" w:rsidR="00B85400" w:rsidRPr="00AC3E4C" w:rsidRDefault="00B85400" w:rsidP="00AC3E4C">
            <w:pPr>
              <w:tabs>
                <w:tab w:val="left" w:pos="1800"/>
              </w:tabs>
              <w:spacing w:before="120" w:after="120"/>
              <w:rPr>
                <w:rFonts w:ascii="Arial" w:hAnsi="Arial" w:cs="Arial"/>
                <w:b/>
                <w:sz w:val="20"/>
                <w:szCs w:val="20"/>
              </w:rPr>
            </w:pPr>
          </w:p>
        </w:tc>
      </w:tr>
      <w:tr w:rsidR="00B85400" w:rsidRPr="00AC3E4C" w14:paraId="5B05AF7A" w14:textId="77777777" w:rsidTr="00AC3E4C">
        <w:tc>
          <w:tcPr>
            <w:tcW w:w="4734" w:type="dxa"/>
          </w:tcPr>
          <w:p w14:paraId="137BB5D9" w14:textId="77777777" w:rsidR="00B85400" w:rsidRPr="00AC3E4C" w:rsidRDefault="00B85400" w:rsidP="00AC3E4C">
            <w:pPr>
              <w:tabs>
                <w:tab w:val="left" w:pos="1800"/>
              </w:tabs>
              <w:spacing w:before="120" w:after="120"/>
              <w:jc w:val="right"/>
              <w:rPr>
                <w:rFonts w:ascii="Arial" w:hAnsi="Arial" w:cs="Arial"/>
                <w:sz w:val="20"/>
                <w:szCs w:val="20"/>
              </w:rPr>
            </w:pPr>
            <w:r w:rsidRPr="00AC3E4C">
              <w:rPr>
                <w:rFonts w:ascii="Arial" w:hAnsi="Arial" w:cs="Arial"/>
                <w:sz w:val="20"/>
                <w:szCs w:val="20"/>
              </w:rPr>
              <w:t>Date:</w:t>
            </w:r>
          </w:p>
        </w:tc>
        <w:tc>
          <w:tcPr>
            <w:tcW w:w="4734" w:type="dxa"/>
            <w:tcBorders>
              <w:top w:val="single" w:sz="4" w:space="0" w:color="auto"/>
              <w:bottom w:val="single" w:sz="4" w:space="0" w:color="auto"/>
            </w:tcBorders>
          </w:tcPr>
          <w:p w14:paraId="0BFBEED2" w14:textId="77777777" w:rsidR="00B85400" w:rsidRPr="00AC3E4C" w:rsidRDefault="00B85400" w:rsidP="00AC3E4C">
            <w:pPr>
              <w:tabs>
                <w:tab w:val="left" w:pos="1800"/>
              </w:tabs>
              <w:spacing w:before="120" w:after="120"/>
              <w:rPr>
                <w:rFonts w:ascii="Arial" w:hAnsi="Arial" w:cs="Arial"/>
                <w:b/>
                <w:sz w:val="20"/>
                <w:szCs w:val="20"/>
              </w:rPr>
            </w:pPr>
          </w:p>
        </w:tc>
      </w:tr>
    </w:tbl>
    <w:p w14:paraId="0429B636" w14:textId="77777777" w:rsidR="00B85400" w:rsidRPr="005B09D5" w:rsidRDefault="00B85400" w:rsidP="00B8540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4"/>
        <w:gridCol w:w="4734"/>
      </w:tblGrid>
      <w:tr w:rsidR="00B85400" w:rsidRPr="00AC3E4C" w14:paraId="6B7D303D" w14:textId="77777777" w:rsidTr="00AC3E4C">
        <w:tc>
          <w:tcPr>
            <w:tcW w:w="4734" w:type="dxa"/>
            <w:tcBorders>
              <w:top w:val="nil"/>
              <w:left w:val="nil"/>
              <w:bottom w:val="nil"/>
              <w:right w:val="nil"/>
            </w:tcBorders>
          </w:tcPr>
          <w:p w14:paraId="4F3FF5C1" w14:textId="4829C1EF" w:rsidR="00B85400" w:rsidRPr="00AC3E4C" w:rsidRDefault="00C54708" w:rsidP="00AC3E4C">
            <w:pPr>
              <w:tabs>
                <w:tab w:val="left" w:pos="1800"/>
              </w:tabs>
              <w:spacing w:before="120" w:after="120"/>
              <w:jc w:val="right"/>
              <w:rPr>
                <w:rFonts w:ascii="Arial" w:hAnsi="Arial" w:cs="Arial"/>
                <w:sz w:val="20"/>
                <w:szCs w:val="20"/>
              </w:rPr>
            </w:pPr>
            <w:r w:rsidRPr="00DA4E57">
              <w:rPr>
                <w:rFonts w:ascii="Arial" w:hAnsi="Arial" w:cs="Arial"/>
                <w:sz w:val="20"/>
                <w:szCs w:val="20"/>
              </w:rPr>
              <w:t xml:space="preserve">Head of </w:t>
            </w:r>
            <w:r w:rsidR="00E832BB">
              <w:rPr>
                <w:rFonts w:ascii="Arial" w:hAnsi="Arial" w:cs="Arial"/>
                <w:sz w:val="20"/>
                <w:szCs w:val="20"/>
              </w:rPr>
              <w:t>Data, Information &amp; Analytics’</w:t>
            </w:r>
            <w:r w:rsidRPr="00AC3E4C">
              <w:rPr>
                <w:rFonts w:ascii="Arial" w:hAnsi="Arial" w:cs="Arial"/>
                <w:sz w:val="20"/>
                <w:szCs w:val="20"/>
              </w:rPr>
              <w:t xml:space="preserve"> </w:t>
            </w:r>
            <w:r w:rsidR="00B85400" w:rsidRPr="00AC3E4C">
              <w:rPr>
                <w:rFonts w:ascii="Arial" w:hAnsi="Arial" w:cs="Arial"/>
                <w:sz w:val="20"/>
                <w:szCs w:val="20"/>
              </w:rPr>
              <w:t>Name:</w:t>
            </w:r>
          </w:p>
        </w:tc>
        <w:tc>
          <w:tcPr>
            <w:tcW w:w="4734" w:type="dxa"/>
            <w:tcBorders>
              <w:top w:val="nil"/>
              <w:left w:val="nil"/>
              <w:bottom w:val="single" w:sz="4" w:space="0" w:color="auto"/>
              <w:right w:val="nil"/>
            </w:tcBorders>
          </w:tcPr>
          <w:p w14:paraId="63C3D988" w14:textId="77777777" w:rsidR="00B85400" w:rsidRPr="00AC3E4C" w:rsidRDefault="00B85400" w:rsidP="00AC3E4C">
            <w:pPr>
              <w:tabs>
                <w:tab w:val="left" w:pos="1800"/>
              </w:tabs>
              <w:spacing w:before="120" w:after="120"/>
              <w:rPr>
                <w:rFonts w:ascii="Arial" w:hAnsi="Arial" w:cs="Arial"/>
                <w:b/>
                <w:sz w:val="20"/>
                <w:szCs w:val="20"/>
              </w:rPr>
            </w:pPr>
          </w:p>
        </w:tc>
      </w:tr>
      <w:tr w:rsidR="00B85400" w:rsidRPr="00AC3E4C" w14:paraId="7C896B47" w14:textId="77777777" w:rsidTr="00AC3E4C">
        <w:tc>
          <w:tcPr>
            <w:tcW w:w="4734" w:type="dxa"/>
            <w:tcBorders>
              <w:top w:val="nil"/>
              <w:left w:val="nil"/>
              <w:bottom w:val="nil"/>
              <w:right w:val="nil"/>
            </w:tcBorders>
          </w:tcPr>
          <w:p w14:paraId="3CB07B56" w14:textId="77777777" w:rsidR="00B85400" w:rsidRPr="00AC3E4C" w:rsidRDefault="00106A67" w:rsidP="00AC3E4C">
            <w:pPr>
              <w:tabs>
                <w:tab w:val="left" w:pos="1800"/>
              </w:tabs>
              <w:spacing w:before="120" w:after="120"/>
              <w:jc w:val="right"/>
              <w:rPr>
                <w:rFonts w:ascii="Arial" w:hAnsi="Arial" w:cs="Arial"/>
                <w:sz w:val="20"/>
                <w:szCs w:val="20"/>
              </w:rPr>
            </w:pPr>
            <w:r w:rsidRPr="00AC3E4C">
              <w:rPr>
                <w:rFonts w:ascii="Arial" w:hAnsi="Arial" w:cs="Arial"/>
                <w:sz w:val="20"/>
                <w:szCs w:val="20"/>
              </w:rPr>
              <w:t xml:space="preserve">                                                                </w:t>
            </w:r>
            <w:r w:rsidR="00B85400" w:rsidRPr="00AC3E4C">
              <w:rPr>
                <w:rFonts w:ascii="Arial" w:hAnsi="Arial" w:cs="Arial"/>
                <w:sz w:val="20"/>
                <w:szCs w:val="20"/>
              </w:rPr>
              <w:t>Signature:</w:t>
            </w:r>
          </w:p>
        </w:tc>
        <w:tc>
          <w:tcPr>
            <w:tcW w:w="4734" w:type="dxa"/>
            <w:tcBorders>
              <w:top w:val="single" w:sz="4" w:space="0" w:color="auto"/>
              <w:left w:val="nil"/>
              <w:bottom w:val="single" w:sz="4" w:space="0" w:color="auto"/>
              <w:right w:val="nil"/>
            </w:tcBorders>
          </w:tcPr>
          <w:p w14:paraId="597870BA" w14:textId="77777777" w:rsidR="00B85400" w:rsidRPr="00AC3E4C" w:rsidRDefault="00B85400" w:rsidP="00AC3E4C">
            <w:pPr>
              <w:tabs>
                <w:tab w:val="left" w:pos="1800"/>
              </w:tabs>
              <w:spacing w:before="120" w:after="120"/>
              <w:rPr>
                <w:rFonts w:ascii="Arial" w:hAnsi="Arial" w:cs="Arial"/>
                <w:b/>
                <w:sz w:val="20"/>
                <w:szCs w:val="20"/>
              </w:rPr>
            </w:pPr>
          </w:p>
        </w:tc>
      </w:tr>
      <w:tr w:rsidR="00B85400" w:rsidRPr="00AC3E4C" w14:paraId="3F380797" w14:textId="77777777" w:rsidTr="00AC3E4C">
        <w:trPr>
          <w:trHeight w:val="297"/>
        </w:trPr>
        <w:tc>
          <w:tcPr>
            <w:tcW w:w="4734" w:type="dxa"/>
            <w:tcBorders>
              <w:top w:val="nil"/>
              <w:left w:val="nil"/>
              <w:bottom w:val="nil"/>
              <w:right w:val="nil"/>
            </w:tcBorders>
          </w:tcPr>
          <w:p w14:paraId="3EE58F95" w14:textId="77777777" w:rsidR="00B85400" w:rsidRPr="00AC3E4C" w:rsidRDefault="00B85400" w:rsidP="00AC3E4C">
            <w:pPr>
              <w:tabs>
                <w:tab w:val="left" w:pos="1800"/>
              </w:tabs>
              <w:spacing w:before="120" w:after="120"/>
              <w:jc w:val="right"/>
              <w:rPr>
                <w:rFonts w:ascii="Arial" w:hAnsi="Arial" w:cs="Arial"/>
                <w:sz w:val="20"/>
                <w:szCs w:val="20"/>
              </w:rPr>
            </w:pPr>
            <w:r w:rsidRPr="00AC3E4C">
              <w:rPr>
                <w:rFonts w:ascii="Arial" w:hAnsi="Arial" w:cs="Arial"/>
                <w:sz w:val="20"/>
                <w:szCs w:val="20"/>
              </w:rPr>
              <w:t>Date:</w:t>
            </w:r>
          </w:p>
        </w:tc>
        <w:tc>
          <w:tcPr>
            <w:tcW w:w="4734" w:type="dxa"/>
            <w:tcBorders>
              <w:top w:val="single" w:sz="4" w:space="0" w:color="auto"/>
              <w:left w:val="nil"/>
              <w:bottom w:val="single" w:sz="4" w:space="0" w:color="auto"/>
              <w:right w:val="nil"/>
            </w:tcBorders>
          </w:tcPr>
          <w:p w14:paraId="07C22CA9" w14:textId="77777777" w:rsidR="00B85400" w:rsidRPr="00AC3E4C" w:rsidRDefault="00B85400" w:rsidP="00AC3E4C">
            <w:pPr>
              <w:tabs>
                <w:tab w:val="left" w:pos="1800"/>
              </w:tabs>
              <w:spacing w:before="120" w:after="120"/>
              <w:rPr>
                <w:rFonts w:ascii="Arial" w:hAnsi="Arial" w:cs="Arial"/>
                <w:b/>
                <w:sz w:val="20"/>
                <w:szCs w:val="20"/>
              </w:rPr>
            </w:pPr>
          </w:p>
        </w:tc>
      </w:tr>
    </w:tbl>
    <w:p w14:paraId="63880E89" w14:textId="77777777" w:rsidR="00D12F86" w:rsidRPr="005B09D5" w:rsidRDefault="00D12F86" w:rsidP="003F65B9">
      <w:pPr>
        <w:tabs>
          <w:tab w:val="left" w:pos="1800"/>
        </w:tabs>
        <w:spacing w:before="120" w:after="120"/>
        <w:rPr>
          <w:rFonts w:ascii="Arial" w:hAnsi="Arial" w:cs="Arial"/>
        </w:rPr>
      </w:pPr>
    </w:p>
    <w:sectPr w:rsidR="00D12F86" w:rsidRPr="005B09D5" w:rsidSect="004321EB">
      <w:headerReference w:type="even" r:id="rId13"/>
      <w:headerReference w:type="default" r:id="rId14"/>
      <w:footerReference w:type="even" r:id="rId15"/>
      <w:footerReference w:type="default" r:id="rId16"/>
      <w:headerReference w:type="first" r:id="rId17"/>
      <w:footerReference w:type="first" r:id="rId18"/>
      <w:pgSz w:w="12240" w:h="15840"/>
      <w:pgMar w:top="1258" w:right="1418" w:bottom="1258" w:left="1418" w:header="709"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1F0F4" w14:textId="77777777" w:rsidR="00AE5B7A" w:rsidRDefault="00AE5B7A">
      <w:r>
        <w:separator/>
      </w:r>
    </w:p>
  </w:endnote>
  <w:endnote w:type="continuationSeparator" w:id="0">
    <w:p w14:paraId="2342D3ED" w14:textId="77777777" w:rsidR="00AE5B7A" w:rsidRDefault="00AE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43EC" w14:textId="77777777" w:rsidR="00DC04AD" w:rsidRDefault="00DC0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880"/>
    </w:tblGrid>
    <w:tr w:rsidR="004D2CC6" w:rsidRPr="00AC3E4C" w14:paraId="6610B453" w14:textId="77777777" w:rsidTr="00AC3E4C">
      <w:tc>
        <w:tcPr>
          <w:tcW w:w="7380" w:type="dxa"/>
          <w:tcBorders>
            <w:top w:val="nil"/>
            <w:left w:val="nil"/>
            <w:bottom w:val="nil"/>
            <w:right w:val="nil"/>
          </w:tcBorders>
        </w:tcPr>
        <w:p w14:paraId="29E9A855" w14:textId="77777777" w:rsidR="004D2CC6" w:rsidRPr="00AC3E4C" w:rsidRDefault="004D2CC6" w:rsidP="00AC3E4C">
          <w:pPr>
            <w:pStyle w:val="Footer"/>
            <w:tabs>
              <w:tab w:val="clear" w:pos="4320"/>
              <w:tab w:val="clear" w:pos="8640"/>
              <w:tab w:val="center" w:pos="4500"/>
              <w:tab w:val="right" w:pos="10260"/>
            </w:tabs>
            <w:rPr>
              <w:rStyle w:val="PageNumber"/>
              <w:rFonts w:ascii="Verdana" w:hAnsi="Verdana"/>
              <w:sz w:val="20"/>
              <w:szCs w:val="20"/>
            </w:rPr>
          </w:pPr>
        </w:p>
        <w:p w14:paraId="03EB7D27" w14:textId="77777777" w:rsidR="004D2CC6" w:rsidRPr="00AC3E4C" w:rsidRDefault="004D2CC6" w:rsidP="00AC3E4C">
          <w:pPr>
            <w:pStyle w:val="Footer"/>
            <w:tabs>
              <w:tab w:val="clear" w:pos="4320"/>
              <w:tab w:val="clear" w:pos="8640"/>
              <w:tab w:val="center" w:pos="4500"/>
              <w:tab w:val="right" w:pos="10260"/>
            </w:tabs>
            <w:rPr>
              <w:rStyle w:val="PageNumber"/>
              <w:rFonts w:ascii="Verdana" w:hAnsi="Verdana" w:cs="Arial"/>
              <w:sz w:val="20"/>
              <w:szCs w:val="20"/>
            </w:rPr>
          </w:pPr>
          <w:r w:rsidRPr="00AC3E4C">
            <w:rPr>
              <w:rStyle w:val="PageNumber"/>
              <w:rFonts w:ascii="Verdana" w:hAnsi="Verdana"/>
              <w:sz w:val="20"/>
              <w:szCs w:val="20"/>
            </w:rPr>
            <w:fldChar w:fldCharType="begin"/>
          </w:r>
          <w:r w:rsidRPr="00AC3E4C">
            <w:rPr>
              <w:rStyle w:val="PageNumber"/>
              <w:rFonts w:ascii="Verdana" w:hAnsi="Verdana"/>
              <w:sz w:val="20"/>
              <w:szCs w:val="20"/>
            </w:rPr>
            <w:instrText xml:space="preserve"> PAGE </w:instrText>
          </w:r>
          <w:r w:rsidRPr="00AC3E4C">
            <w:rPr>
              <w:rStyle w:val="PageNumber"/>
              <w:rFonts w:ascii="Verdana" w:hAnsi="Verdana"/>
              <w:sz w:val="20"/>
              <w:szCs w:val="20"/>
            </w:rPr>
            <w:fldChar w:fldCharType="separate"/>
          </w:r>
          <w:r w:rsidR="00C54708">
            <w:rPr>
              <w:rStyle w:val="PageNumber"/>
              <w:rFonts w:ascii="Verdana" w:hAnsi="Verdana"/>
              <w:noProof/>
              <w:sz w:val="20"/>
              <w:szCs w:val="20"/>
            </w:rPr>
            <w:t>7</w:t>
          </w:r>
          <w:r w:rsidRPr="00AC3E4C">
            <w:rPr>
              <w:rStyle w:val="PageNumber"/>
              <w:rFonts w:ascii="Verdana" w:hAnsi="Verdana"/>
              <w:sz w:val="20"/>
              <w:szCs w:val="20"/>
            </w:rPr>
            <w:fldChar w:fldCharType="end"/>
          </w:r>
        </w:p>
      </w:tc>
      <w:tc>
        <w:tcPr>
          <w:tcW w:w="2880" w:type="dxa"/>
          <w:tcBorders>
            <w:top w:val="nil"/>
            <w:left w:val="nil"/>
            <w:bottom w:val="nil"/>
            <w:right w:val="nil"/>
          </w:tcBorders>
        </w:tcPr>
        <w:p w14:paraId="7C2D0473" w14:textId="77777777" w:rsidR="004D2CC6" w:rsidRPr="00AC3E4C" w:rsidRDefault="004D2CC6" w:rsidP="00AC3E4C">
          <w:pPr>
            <w:pStyle w:val="Footer"/>
            <w:tabs>
              <w:tab w:val="clear" w:pos="4320"/>
              <w:tab w:val="clear" w:pos="8640"/>
              <w:tab w:val="center" w:pos="4500"/>
              <w:tab w:val="right" w:pos="10260"/>
            </w:tabs>
            <w:jc w:val="right"/>
            <w:rPr>
              <w:rStyle w:val="PageNumber"/>
              <w:rFonts w:ascii="Arial" w:hAnsi="Arial" w:cs="Arial"/>
              <w:sz w:val="18"/>
              <w:szCs w:val="18"/>
            </w:rPr>
          </w:pPr>
        </w:p>
      </w:tc>
    </w:tr>
  </w:tbl>
  <w:p w14:paraId="29E2BA6E" w14:textId="77777777" w:rsidR="004D2CC6" w:rsidRPr="007F32EE" w:rsidRDefault="004D2CC6" w:rsidP="003F65B9">
    <w:pPr>
      <w:pStyle w:val="Footer"/>
      <w:tabs>
        <w:tab w:val="clear" w:pos="4320"/>
        <w:tab w:val="clear" w:pos="8640"/>
        <w:tab w:val="center" w:pos="4500"/>
        <w:tab w:val="right" w:pos="10260"/>
      </w:tabs>
      <w:rPr>
        <w:lang w:val="en-N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C840" w14:textId="77777777" w:rsidR="00DC04AD" w:rsidRDefault="00DC0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28961" w14:textId="77777777" w:rsidR="00AE5B7A" w:rsidRDefault="00AE5B7A">
      <w:r>
        <w:separator/>
      </w:r>
    </w:p>
  </w:footnote>
  <w:footnote w:type="continuationSeparator" w:id="0">
    <w:p w14:paraId="214C3AE1" w14:textId="77777777" w:rsidR="00AE5B7A" w:rsidRDefault="00AE5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FE99" w14:textId="77777777" w:rsidR="00DC04AD" w:rsidRDefault="00DC04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EDFB" w14:textId="4EBCA013" w:rsidR="007F62BC" w:rsidRDefault="007F62BC" w:rsidP="007F62B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3D5C" w14:textId="77777777" w:rsidR="00DC04AD" w:rsidRDefault="00DC0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B4CAB0"/>
    <w:lvl w:ilvl="0">
      <w:start w:val="1"/>
      <w:numFmt w:val="lowerLetter"/>
      <w:pStyle w:val="ListBullet2"/>
      <w:lvlText w:val="%1."/>
      <w:lvlJc w:val="left"/>
      <w:pPr>
        <w:tabs>
          <w:tab w:val="num" w:pos="850"/>
        </w:tabs>
        <w:ind w:left="850" w:hanging="567"/>
      </w:pPr>
      <w:rPr>
        <w:rFonts w:hint="default"/>
      </w:rPr>
    </w:lvl>
  </w:abstractNum>
  <w:abstractNum w:abstractNumId="1" w15:restartNumberingAfterBreak="0">
    <w:nsid w:val="1CEB0EFB"/>
    <w:multiLevelType w:val="hybridMultilevel"/>
    <w:tmpl w:val="CCF6917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3508C9"/>
    <w:multiLevelType w:val="hybridMultilevel"/>
    <w:tmpl w:val="7018E7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37E54BD"/>
    <w:multiLevelType w:val="hybridMultilevel"/>
    <w:tmpl w:val="82DA6E8E"/>
    <w:lvl w:ilvl="0" w:tplc="FFFFFFFF">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1005CF"/>
    <w:multiLevelType w:val="hybridMultilevel"/>
    <w:tmpl w:val="672EEC42"/>
    <w:lvl w:ilvl="0" w:tplc="04090005">
      <w:numFmt w:val="bullet"/>
      <w:pStyle w:val="Heading5"/>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F8512A"/>
    <w:multiLevelType w:val="hybridMultilevel"/>
    <w:tmpl w:val="1B7E045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F14B96"/>
    <w:multiLevelType w:val="hybridMultilevel"/>
    <w:tmpl w:val="CCF2F39E"/>
    <w:lvl w:ilvl="0" w:tplc="FFFFFFFF">
      <w:start w:val="1"/>
      <w:numFmt w:val="bullet"/>
      <w:lvlText w:val=""/>
      <w:lvlJc w:val="left"/>
      <w:pPr>
        <w:tabs>
          <w:tab w:val="num" w:pos="720"/>
        </w:tabs>
        <w:ind w:left="720" w:hanging="360"/>
      </w:pPr>
      <w:rPr>
        <w:rFonts w:ascii="Symbol" w:hAnsi="Symbol" w:hint="default"/>
        <w:color w:val="000000"/>
      </w:rPr>
    </w:lvl>
    <w:lvl w:ilvl="1" w:tplc="FFFFFFFF">
      <w:start w:val="1"/>
      <w:numFmt w:val="bullet"/>
      <w:lvlText w:val=""/>
      <w:lvlJc w:val="left"/>
      <w:pPr>
        <w:tabs>
          <w:tab w:val="num" w:pos="1440"/>
        </w:tabs>
        <w:ind w:left="1440" w:hanging="360"/>
      </w:pPr>
      <w:rPr>
        <w:rFonts w:ascii="Wingdings" w:hAnsi="Wingdings" w:hint="default"/>
        <w:color w:val="00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076945"/>
    <w:multiLevelType w:val="hybridMultilevel"/>
    <w:tmpl w:val="95460968"/>
    <w:lvl w:ilvl="0" w:tplc="474A5DA2">
      <w:start w:val="1"/>
      <w:numFmt w:val="bullet"/>
      <w:pStyle w:val="BulletSymbol"/>
      <w:lvlText w:val=""/>
      <w:lvlJc w:val="left"/>
      <w:pPr>
        <w:tabs>
          <w:tab w:val="num" w:pos="717"/>
        </w:tabs>
        <w:ind w:left="717" w:hanging="360"/>
      </w:pPr>
      <w:rPr>
        <w:rFonts w:ascii="Symbol" w:hAnsi="Symbol" w:hint="default"/>
        <w:color w:val="2D8EAE"/>
      </w:rPr>
    </w:lvl>
    <w:lvl w:ilvl="1" w:tplc="FFFFFFFF">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563D3BFE"/>
    <w:multiLevelType w:val="hybridMultilevel"/>
    <w:tmpl w:val="99EC62F8"/>
    <w:lvl w:ilvl="0" w:tplc="717051C0">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346AA0"/>
    <w:multiLevelType w:val="multilevel"/>
    <w:tmpl w:val="8FAE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8D69C4"/>
    <w:multiLevelType w:val="hybridMultilevel"/>
    <w:tmpl w:val="99BEA87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1E3D8B"/>
    <w:multiLevelType w:val="hybridMultilevel"/>
    <w:tmpl w:val="6E3A2AA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A349E6"/>
    <w:multiLevelType w:val="hybridMultilevel"/>
    <w:tmpl w:val="9BBCFDA2"/>
    <w:lvl w:ilvl="0" w:tplc="14090001">
      <w:start w:val="1"/>
      <w:numFmt w:val="bullet"/>
      <w:lvlText w:val=""/>
      <w:lvlJc w:val="left"/>
      <w:pPr>
        <w:ind w:left="361" w:hanging="360"/>
      </w:pPr>
      <w:rPr>
        <w:rFonts w:ascii="Symbol" w:hAnsi="Symbol" w:hint="default"/>
      </w:rPr>
    </w:lvl>
    <w:lvl w:ilvl="1" w:tplc="14090003" w:tentative="1">
      <w:start w:val="1"/>
      <w:numFmt w:val="bullet"/>
      <w:lvlText w:val="o"/>
      <w:lvlJc w:val="left"/>
      <w:pPr>
        <w:ind w:left="1081" w:hanging="360"/>
      </w:pPr>
      <w:rPr>
        <w:rFonts w:ascii="Courier New" w:hAnsi="Courier New" w:cs="Courier New" w:hint="default"/>
      </w:rPr>
    </w:lvl>
    <w:lvl w:ilvl="2" w:tplc="14090005" w:tentative="1">
      <w:start w:val="1"/>
      <w:numFmt w:val="bullet"/>
      <w:lvlText w:val=""/>
      <w:lvlJc w:val="left"/>
      <w:pPr>
        <w:ind w:left="1801" w:hanging="360"/>
      </w:pPr>
      <w:rPr>
        <w:rFonts w:ascii="Wingdings" w:hAnsi="Wingdings" w:hint="default"/>
      </w:rPr>
    </w:lvl>
    <w:lvl w:ilvl="3" w:tplc="14090001" w:tentative="1">
      <w:start w:val="1"/>
      <w:numFmt w:val="bullet"/>
      <w:lvlText w:val=""/>
      <w:lvlJc w:val="left"/>
      <w:pPr>
        <w:ind w:left="2521" w:hanging="360"/>
      </w:pPr>
      <w:rPr>
        <w:rFonts w:ascii="Symbol" w:hAnsi="Symbol" w:hint="default"/>
      </w:rPr>
    </w:lvl>
    <w:lvl w:ilvl="4" w:tplc="14090003" w:tentative="1">
      <w:start w:val="1"/>
      <w:numFmt w:val="bullet"/>
      <w:lvlText w:val="o"/>
      <w:lvlJc w:val="left"/>
      <w:pPr>
        <w:ind w:left="3241" w:hanging="360"/>
      </w:pPr>
      <w:rPr>
        <w:rFonts w:ascii="Courier New" w:hAnsi="Courier New" w:cs="Courier New" w:hint="default"/>
      </w:rPr>
    </w:lvl>
    <w:lvl w:ilvl="5" w:tplc="14090005" w:tentative="1">
      <w:start w:val="1"/>
      <w:numFmt w:val="bullet"/>
      <w:lvlText w:val=""/>
      <w:lvlJc w:val="left"/>
      <w:pPr>
        <w:ind w:left="3961" w:hanging="360"/>
      </w:pPr>
      <w:rPr>
        <w:rFonts w:ascii="Wingdings" w:hAnsi="Wingdings" w:hint="default"/>
      </w:rPr>
    </w:lvl>
    <w:lvl w:ilvl="6" w:tplc="14090001" w:tentative="1">
      <w:start w:val="1"/>
      <w:numFmt w:val="bullet"/>
      <w:lvlText w:val=""/>
      <w:lvlJc w:val="left"/>
      <w:pPr>
        <w:ind w:left="4681" w:hanging="360"/>
      </w:pPr>
      <w:rPr>
        <w:rFonts w:ascii="Symbol" w:hAnsi="Symbol" w:hint="default"/>
      </w:rPr>
    </w:lvl>
    <w:lvl w:ilvl="7" w:tplc="14090003" w:tentative="1">
      <w:start w:val="1"/>
      <w:numFmt w:val="bullet"/>
      <w:lvlText w:val="o"/>
      <w:lvlJc w:val="left"/>
      <w:pPr>
        <w:ind w:left="5401" w:hanging="360"/>
      </w:pPr>
      <w:rPr>
        <w:rFonts w:ascii="Courier New" w:hAnsi="Courier New" w:cs="Courier New" w:hint="default"/>
      </w:rPr>
    </w:lvl>
    <w:lvl w:ilvl="8" w:tplc="14090005" w:tentative="1">
      <w:start w:val="1"/>
      <w:numFmt w:val="bullet"/>
      <w:lvlText w:val=""/>
      <w:lvlJc w:val="left"/>
      <w:pPr>
        <w:ind w:left="6121" w:hanging="360"/>
      </w:pPr>
      <w:rPr>
        <w:rFonts w:ascii="Wingdings" w:hAnsi="Wingdings" w:hint="default"/>
      </w:rPr>
    </w:lvl>
  </w:abstractNum>
  <w:abstractNum w:abstractNumId="13" w15:restartNumberingAfterBreak="0">
    <w:nsid w:val="77287D7C"/>
    <w:multiLevelType w:val="hybridMultilevel"/>
    <w:tmpl w:val="C2385766"/>
    <w:lvl w:ilvl="0" w:tplc="717051C0">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274265"/>
    <w:multiLevelType w:val="hybridMultilevel"/>
    <w:tmpl w:val="F04E8854"/>
    <w:lvl w:ilvl="0" w:tplc="8AA8F7A2">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65294244">
    <w:abstractNumId w:val="3"/>
  </w:num>
  <w:num w:numId="2" w16cid:durableId="1316497369">
    <w:abstractNumId w:val="6"/>
  </w:num>
  <w:num w:numId="3" w16cid:durableId="1457218735">
    <w:abstractNumId w:val="8"/>
  </w:num>
  <w:num w:numId="4" w16cid:durableId="1694720411">
    <w:abstractNumId w:val="0"/>
  </w:num>
  <w:num w:numId="5" w16cid:durableId="1209338323">
    <w:abstractNumId w:val="4"/>
  </w:num>
  <w:num w:numId="6" w16cid:durableId="466052838">
    <w:abstractNumId w:val="7"/>
  </w:num>
  <w:num w:numId="7" w16cid:durableId="1264611220">
    <w:abstractNumId w:val="13"/>
  </w:num>
  <w:num w:numId="8" w16cid:durableId="1213926546">
    <w:abstractNumId w:val="1"/>
  </w:num>
  <w:num w:numId="9" w16cid:durableId="1853762210">
    <w:abstractNumId w:val="11"/>
  </w:num>
  <w:num w:numId="10" w16cid:durableId="1338385396">
    <w:abstractNumId w:val="5"/>
  </w:num>
  <w:num w:numId="11" w16cid:durableId="1862352678">
    <w:abstractNumId w:val="10"/>
  </w:num>
  <w:num w:numId="12" w16cid:durableId="1673489292">
    <w:abstractNumId w:val="14"/>
  </w:num>
  <w:num w:numId="13" w16cid:durableId="699891203">
    <w:abstractNumId w:val="9"/>
  </w:num>
  <w:num w:numId="14" w16cid:durableId="232587964">
    <w:abstractNumId w:val="2"/>
  </w:num>
  <w:num w:numId="15" w16cid:durableId="48662726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DB"/>
    <w:rsid w:val="000132C9"/>
    <w:rsid w:val="00013D72"/>
    <w:rsid w:val="0004704B"/>
    <w:rsid w:val="00050990"/>
    <w:rsid w:val="00055367"/>
    <w:rsid w:val="00056E76"/>
    <w:rsid w:val="00071784"/>
    <w:rsid w:val="00073CEC"/>
    <w:rsid w:val="000745DE"/>
    <w:rsid w:val="00081F3C"/>
    <w:rsid w:val="00082213"/>
    <w:rsid w:val="000852A5"/>
    <w:rsid w:val="000860BB"/>
    <w:rsid w:val="00090BF7"/>
    <w:rsid w:val="000A17B1"/>
    <w:rsid w:val="000C5CBF"/>
    <w:rsid w:val="000C7ED7"/>
    <w:rsid w:val="000E363D"/>
    <w:rsid w:val="000E4E10"/>
    <w:rsid w:val="001054D7"/>
    <w:rsid w:val="00106A67"/>
    <w:rsid w:val="0011012D"/>
    <w:rsid w:val="00115041"/>
    <w:rsid w:val="00115410"/>
    <w:rsid w:val="0012043D"/>
    <w:rsid w:val="00122B30"/>
    <w:rsid w:val="00130251"/>
    <w:rsid w:val="00133A04"/>
    <w:rsid w:val="00140558"/>
    <w:rsid w:val="0014596B"/>
    <w:rsid w:val="00152160"/>
    <w:rsid w:val="00155532"/>
    <w:rsid w:val="00174782"/>
    <w:rsid w:val="00187582"/>
    <w:rsid w:val="00191E5F"/>
    <w:rsid w:val="001A1267"/>
    <w:rsid w:val="001D0AAA"/>
    <w:rsid w:val="001E075A"/>
    <w:rsid w:val="001E419B"/>
    <w:rsid w:val="001F2B0C"/>
    <w:rsid w:val="001F3BAC"/>
    <w:rsid w:val="001F4E0D"/>
    <w:rsid w:val="00203910"/>
    <w:rsid w:val="00204557"/>
    <w:rsid w:val="002066B9"/>
    <w:rsid w:val="002069CC"/>
    <w:rsid w:val="002075CB"/>
    <w:rsid w:val="00221E1A"/>
    <w:rsid w:val="00222D3F"/>
    <w:rsid w:val="00223233"/>
    <w:rsid w:val="002317E6"/>
    <w:rsid w:val="00237CDB"/>
    <w:rsid w:val="002425FA"/>
    <w:rsid w:val="00247F21"/>
    <w:rsid w:val="00263B93"/>
    <w:rsid w:val="00266699"/>
    <w:rsid w:val="00286C09"/>
    <w:rsid w:val="002A5361"/>
    <w:rsid w:val="002B11AE"/>
    <w:rsid w:val="002B28F0"/>
    <w:rsid w:val="002B7E93"/>
    <w:rsid w:val="002C01C7"/>
    <w:rsid w:val="002D2F19"/>
    <w:rsid w:val="002D3A4C"/>
    <w:rsid w:val="002D76A9"/>
    <w:rsid w:val="002F29A5"/>
    <w:rsid w:val="0030036B"/>
    <w:rsid w:val="003061C4"/>
    <w:rsid w:val="0032116F"/>
    <w:rsid w:val="00321414"/>
    <w:rsid w:val="0032579C"/>
    <w:rsid w:val="00333987"/>
    <w:rsid w:val="00333F65"/>
    <w:rsid w:val="0033413F"/>
    <w:rsid w:val="003364BB"/>
    <w:rsid w:val="00344F32"/>
    <w:rsid w:val="003512DD"/>
    <w:rsid w:val="00354923"/>
    <w:rsid w:val="00375347"/>
    <w:rsid w:val="0037542D"/>
    <w:rsid w:val="00377E47"/>
    <w:rsid w:val="003938B2"/>
    <w:rsid w:val="003953FA"/>
    <w:rsid w:val="00396C7B"/>
    <w:rsid w:val="003A367A"/>
    <w:rsid w:val="003A5499"/>
    <w:rsid w:val="003B1881"/>
    <w:rsid w:val="003C0FA4"/>
    <w:rsid w:val="003C1311"/>
    <w:rsid w:val="003C284B"/>
    <w:rsid w:val="003C584B"/>
    <w:rsid w:val="003F1B70"/>
    <w:rsid w:val="003F4912"/>
    <w:rsid w:val="003F65B9"/>
    <w:rsid w:val="003F6EE2"/>
    <w:rsid w:val="00410242"/>
    <w:rsid w:val="00410C0A"/>
    <w:rsid w:val="0041452D"/>
    <w:rsid w:val="00415192"/>
    <w:rsid w:val="00421736"/>
    <w:rsid w:val="00430ADF"/>
    <w:rsid w:val="004321EB"/>
    <w:rsid w:val="00465338"/>
    <w:rsid w:val="00467602"/>
    <w:rsid w:val="004712F0"/>
    <w:rsid w:val="0047788C"/>
    <w:rsid w:val="0048342C"/>
    <w:rsid w:val="00483564"/>
    <w:rsid w:val="004A03F7"/>
    <w:rsid w:val="004A7D21"/>
    <w:rsid w:val="004D2CC6"/>
    <w:rsid w:val="004D3893"/>
    <w:rsid w:val="004F011C"/>
    <w:rsid w:val="00511329"/>
    <w:rsid w:val="005117DD"/>
    <w:rsid w:val="005238D8"/>
    <w:rsid w:val="005266DD"/>
    <w:rsid w:val="00533128"/>
    <w:rsid w:val="00534892"/>
    <w:rsid w:val="00540C61"/>
    <w:rsid w:val="005424FA"/>
    <w:rsid w:val="005450F0"/>
    <w:rsid w:val="005466A1"/>
    <w:rsid w:val="00551046"/>
    <w:rsid w:val="00564462"/>
    <w:rsid w:val="00593F42"/>
    <w:rsid w:val="00596C0E"/>
    <w:rsid w:val="00597987"/>
    <w:rsid w:val="005B09D5"/>
    <w:rsid w:val="005C014B"/>
    <w:rsid w:val="005C3221"/>
    <w:rsid w:val="005C755E"/>
    <w:rsid w:val="005E37AA"/>
    <w:rsid w:val="00604B33"/>
    <w:rsid w:val="00611637"/>
    <w:rsid w:val="00611C43"/>
    <w:rsid w:val="00631A44"/>
    <w:rsid w:val="006470AF"/>
    <w:rsid w:val="00650DCC"/>
    <w:rsid w:val="006605FC"/>
    <w:rsid w:val="00662326"/>
    <w:rsid w:val="00674C5E"/>
    <w:rsid w:val="00677159"/>
    <w:rsid w:val="00677F02"/>
    <w:rsid w:val="00684C7B"/>
    <w:rsid w:val="006950AC"/>
    <w:rsid w:val="00695BC5"/>
    <w:rsid w:val="006A4694"/>
    <w:rsid w:val="006D02B5"/>
    <w:rsid w:val="006F19CA"/>
    <w:rsid w:val="006F2E7B"/>
    <w:rsid w:val="0070530F"/>
    <w:rsid w:val="0071026E"/>
    <w:rsid w:val="007178FD"/>
    <w:rsid w:val="007256CC"/>
    <w:rsid w:val="00732D4A"/>
    <w:rsid w:val="007339B0"/>
    <w:rsid w:val="00740FA1"/>
    <w:rsid w:val="00747D5A"/>
    <w:rsid w:val="0075431E"/>
    <w:rsid w:val="00754585"/>
    <w:rsid w:val="00765BA0"/>
    <w:rsid w:val="00771BE4"/>
    <w:rsid w:val="00786BF3"/>
    <w:rsid w:val="007902C0"/>
    <w:rsid w:val="00792450"/>
    <w:rsid w:val="007B4EE1"/>
    <w:rsid w:val="007C7128"/>
    <w:rsid w:val="007D6593"/>
    <w:rsid w:val="007E2AAE"/>
    <w:rsid w:val="007E33D6"/>
    <w:rsid w:val="007F2ABA"/>
    <w:rsid w:val="007F5B4C"/>
    <w:rsid w:val="007F62BC"/>
    <w:rsid w:val="00816329"/>
    <w:rsid w:val="0083106B"/>
    <w:rsid w:val="00831E1A"/>
    <w:rsid w:val="00832BDC"/>
    <w:rsid w:val="008377B9"/>
    <w:rsid w:val="00837C84"/>
    <w:rsid w:val="0085072E"/>
    <w:rsid w:val="00850B0D"/>
    <w:rsid w:val="008563FA"/>
    <w:rsid w:val="00856DD0"/>
    <w:rsid w:val="0086019A"/>
    <w:rsid w:val="00863864"/>
    <w:rsid w:val="00865842"/>
    <w:rsid w:val="00867E51"/>
    <w:rsid w:val="008747F9"/>
    <w:rsid w:val="00875A16"/>
    <w:rsid w:val="00883663"/>
    <w:rsid w:val="00884853"/>
    <w:rsid w:val="00884FEC"/>
    <w:rsid w:val="00891090"/>
    <w:rsid w:val="0089439A"/>
    <w:rsid w:val="008A27A4"/>
    <w:rsid w:val="008A5F2F"/>
    <w:rsid w:val="008B60AB"/>
    <w:rsid w:val="008B7FAA"/>
    <w:rsid w:val="008C1220"/>
    <w:rsid w:val="008D042A"/>
    <w:rsid w:val="008E0351"/>
    <w:rsid w:val="008E5862"/>
    <w:rsid w:val="008F28B1"/>
    <w:rsid w:val="008F332C"/>
    <w:rsid w:val="008F65C9"/>
    <w:rsid w:val="008F7849"/>
    <w:rsid w:val="00905684"/>
    <w:rsid w:val="00910EEF"/>
    <w:rsid w:val="00916F84"/>
    <w:rsid w:val="00926C9D"/>
    <w:rsid w:val="009356EB"/>
    <w:rsid w:val="00937BB0"/>
    <w:rsid w:val="00943F3C"/>
    <w:rsid w:val="0095180E"/>
    <w:rsid w:val="00951C34"/>
    <w:rsid w:val="00953BDD"/>
    <w:rsid w:val="00956FA6"/>
    <w:rsid w:val="009751C9"/>
    <w:rsid w:val="00986E7E"/>
    <w:rsid w:val="009872F5"/>
    <w:rsid w:val="009A2738"/>
    <w:rsid w:val="009A2CC8"/>
    <w:rsid w:val="009B4A7B"/>
    <w:rsid w:val="009B7561"/>
    <w:rsid w:val="009C6C74"/>
    <w:rsid w:val="009D274B"/>
    <w:rsid w:val="009D61AB"/>
    <w:rsid w:val="009E4D68"/>
    <w:rsid w:val="009E56F3"/>
    <w:rsid w:val="009F2255"/>
    <w:rsid w:val="009F6A4D"/>
    <w:rsid w:val="00A064A2"/>
    <w:rsid w:val="00A1213B"/>
    <w:rsid w:val="00A15785"/>
    <w:rsid w:val="00A20308"/>
    <w:rsid w:val="00A26356"/>
    <w:rsid w:val="00A365F6"/>
    <w:rsid w:val="00A36E57"/>
    <w:rsid w:val="00A42F76"/>
    <w:rsid w:val="00A47E89"/>
    <w:rsid w:val="00A51F5A"/>
    <w:rsid w:val="00A66291"/>
    <w:rsid w:val="00A73D26"/>
    <w:rsid w:val="00A803A1"/>
    <w:rsid w:val="00A80415"/>
    <w:rsid w:val="00A93E0A"/>
    <w:rsid w:val="00A9508A"/>
    <w:rsid w:val="00AB6E33"/>
    <w:rsid w:val="00AB7367"/>
    <w:rsid w:val="00AC03C3"/>
    <w:rsid w:val="00AC3AEB"/>
    <w:rsid w:val="00AC3E4C"/>
    <w:rsid w:val="00AC4DCB"/>
    <w:rsid w:val="00AC6AC3"/>
    <w:rsid w:val="00AD0C59"/>
    <w:rsid w:val="00AD1335"/>
    <w:rsid w:val="00AD4EC2"/>
    <w:rsid w:val="00AE40FF"/>
    <w:rsid w:val="00AE5582"/>
    <w:rsid w:val="00AE5B7A"/>
    <w:rsid w:val="00B078C3"/>
    <w:rsid w:val="00B12FED"/>
    <w:rsid w:val="00B14083"/>
    <w:rsid w:val="00B16266"/>
    <w:rsid w:val="00B232B1"/>
    <w:rsid w:val="00B274B9"/>
    <w:rsid w:val="00B31A9A"/>
    <w:rsid w:val="00B32188"/>
    <w:rsid w:val="00B34A38"/>
    <w:rsid w:val="00B35E2A"/>
    <w:rsid w:val="00B50906"/>
    <w:rsid w:val="00B509FE"/>
    <w:rsid w:val="00B542FC"/>
    <w:rsid w:val="00B57C5A"/>
    <w:rsid w:val="00B76DF0"/>
    <w:rsid w:val="00B85400"/>
    <w:rsid w:val="00B85441"/>
    <w:rsid w:val="00B90B90"/>
    <w:rsid w:val="00B92C30"/>
    <w:rsid w:val="00B95F00"/>
    <w:rsid w:val="00B96612"/>
    <w:rsid w:val="00BA062E"/>
    <w:rsid w:val="00BA2F02"/>
    <w:rsid w:val="00BC3C64"/>
    <w:rsid w:val="00BC6F39"/>
    <w:rsid w:val="00BD0739"/>
    <w:rsid w:val="00BD18F2"/>
    <w:rsid w:val="00BD7F32"/>
    <w:rsid w:val="00BE059F"/>
    <w:rsid w:val="00BF0AD5"/>
    <w:rsid w:val="00BF5E6B"/>
    <w:rsid w:val="00C1744E"/>
    <w:rsid w:val="00C34959"/>
    <w:rsid w:val="00C35F73"/>
    <w:rsid w:val="00C46FE5"/>
    <w:rsid w:val="00C47FD2"/>
    <w:rsid w:val="00C53774"/>
    <w:rsid w:val="00C54708"/>
    <w:rsid w:val="00C64995"/>
    <w:rsid w:val="00C7269C"/>
    <w:rsid w:val="00C72CE3"/>
    <w:rsid w:val="00C836EA"/>
    <w:rsid w:val="00C84513"/>
    <w:rsid w:val="00C84A5D"/>
    <w:rsid w:val="00C84B15"/>
    <w:rsid w:val="00C9556E"/>
    <w:rsid w:val="00CA789B"/>
    <w:rsid w:val="00CC1A29"/>
    <w:rsid w:val="00CC426D"/>
    <w:rsid w:val="00CE2122"/>
    <w:rsid w:val="00CF5BC0"/>
    <w:rsid w:val="00D12F86"/>
    <w:rsid w:val="00D157E8"/>
    <w:rsid w:val="00D22A8A"/>
    <w:rsid w:val="00D23C66"/>
    <w:rsid w:val="00D2592E"/>
    <w:rsid w:val="00D33627"/>
    <w:rsid w:val="00D34173"/>
    <w:rsid w:val="00D34221"/>
    <w:rsid w:val="00D410A9"/>
    <w:rsid w:val="00D44337"/>
    <w:rsid w:val="00D51F6C"/>
    <w:rsid w:val="00D62C48"/>
    <w:rsid w:val="00D64CF5"/>
    <w:rsid w:val="00D66F23"/>
    <w:rsid w:val="00D774A6"/>
    <w:rsid w:val="00DA4E57"/>
    <w:rsid w:val="00DC04AD"/>
    <w:rsid w:val="00DE7954"/>
    <w:rsid w:val="00E11831"/>
    <w:rsid w:val="00E13778"/>
    <w:rsid w:val="00E201FB"/>
    <w:rsid w:val="00E20E98"/>
    <w:rsid w:val="00E26E2E"/>
    <w:rsid w:val="00E34E55"/>
    <w:rsid w:val="00E35860"/>
    <w:rsid w:val="00E442A6"/>
    <w:rsid w:val="00E832BB"/>
    <w:rsid w:val="00E84378"/>
    <w:rsid w:val="00E84AED"/>
    <w:rsid w:val="00E8505D"/>
    <w:rsid w:val="00EA7CDA"/>
    <w:rsid w:val="00EB5305"/>
    <w:rsid w:val="00EE20C9"/>
    <w:rsid w:val="00EE79DC"/>
    <w:rsid w:val="00EF0AA9"/>
    <w:rsid w:val="00F01087"/>
    <w:rsid w:val="00F15983"/>
    <w:rsid w:val="00F20CA6"/>
    <w:rsid w:val="00F24F5D"/>
    <w:rsid w:val="00F3012D"/>
    <w:rsid w:val="00F56F2A"/>
    <w:rsid w:val="00F60BF1"/>
    <w:rsid w:val="00F6326F"/>
    <w:rsid w:val="00F80945"/>
    <w:rsid w:val="00F83135"/>
    <w:rsid w:val="00F8360C"/>
    <w:rsid w:val="00F947FD"/>
    <w:rsid w:val="00FA06BD"/>
    <w:rsid w:val="00FB680D"/>
    <w:rsid w:val="00FC7677"/>
    <w:rsid w:val="00FE1E83"/>
    <w:rsid w:val="00FF0729"/>
    <w:rsid w:val="00FF1EC3"/>
    <w:rsid w:val="00FF5DD9"/>
    <w:rsid w:val="4B24E683"/>
    <w:rsid w:val="75D1DA5A"/>
    <w:rsid w:val="7D89579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3"/>
    <o:shapelayout v:ext="edit">
      <o:idmap v:ext="edit" data="2"/>
    </o:shapelayout>
  </w:shapeDefaults>
  <w:decimalSymbol w:val="."/>
  <w:listSeparator w:val=","/>
  <w14:docId w14:val="1D04CDD9"/>
  <w15:chartTrackingRefBased/>
  <w15:docId w15:val="{FBC975BB-F1FB-4985-91CC-FA2BF4D58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subhead"/>
    <w:basedOn w:val="Normal"/>
    <w:next w:val="NormalIndent"/>
    <w:qFormat/>
    <w:rsid w:val="00D2592E"/>
    <w:pPr>
      <w:keepNext/>
      <w:pageBreakBefore/>
      <w:tabs>
        <w:tab w:val="num" w:pos="0"/>
      </w:tabs>
      <w:overflowPunct w:val="0"/>
      <w:autoSpaceDE w:val="0"/>
      <w:autoSpaceDN w:val="0"/>
      <w:adjustRightInd w:val="0"/>
      <w:spacing w:before="240" w:after="240"/>
      <w:textAlignment w:val="baseline"/>
      <w:outlineLvl w:val="0"/>
    </w:pPr>
    <w:rPr>
      <w:rFonts w:ascii="Verdana" w:hAnsi="Verdana"/>
      <w:b/>
      <w:kern w:val="28"/>
      <w:lang w:val="en-GB"/>
    </w:rPr>
  </w:style>
  <w:style w:type="paragraph" w:styleId="Heading2">
    <w:name w:val="heading 2"/>
    <w:basedOn w:val="Normal"/>
    <w:next w:val="Normal"/>
    <w:qFormat/>
    <w:rsid w:val="0083106B"/>
    <w:pPr>
      <w:keepNext/>
      <w:spacing w:before="240" w:after="60"/>
      <w:outlineLvl w:val="1"/>
    </w:pPr>
    <w:rPr>
      <w:rFonts w:ascii="Arial" w:hAnsi="Arial" w:cs="Arial"/>
      <w:b/>
      <w:bCs/>
      <w:i/>
      <w:iCs/>
      <w:sz w:val="28"/>
      <w:szCs w:val="28"/>
    </w:rPr>
  </w:style>
  <w:style w:type="paragraph" w:styleId="Heading3">
    <w:name w:val="heading 3"/>
    <w:aliases w:val="Section,(Appendix Nbr),Level 1 - 1,Heading 3 Char Char"/>
    <w:basedOn w:val="Normal"/>
    <w:next w:val="Normal"/>
    <w:link w:val="Heading3Char"/>
    <w:qFormat/>
    <w:rsid w:val="0083106B"/>
    <w:pPr>
      <w:keepNext/>
      <w:spacing w:before="240" w:after="60"/>
      <w:outlineLvl w:val="2"/>
    </w:pPr>
    <w:rPr>
      <w:rFonts w:ascii="Arial" w:hAnsi="Arial" w:cs="Arial"/>
      <w:b/>
      <w:bCs/>
      <w:sz w:val="26"/>
      <w:szCs w:val="26"/>
    </w:rPr>
  </w:style>
  <w:style w:type="paragraph" w:styleId="Heading4">
    <w:name w:val="heading 4"/>
    <w:aliases w:val="(Small Appendix),Level 2 - a"/>
    <w:basedOn w:val="Normal"/>
    <w:next w:val="NormalIndent"/>
    <w:qFormat/>
    <w:rsid w:val="00D2592E"/>
    <w:pPr>
      <w:keepNext/>
      <w:tabs>
        <w:tab w:val="num" w:pos="0"/>
      </w:tabs>
      <w:overflowPunct w:val="0"/>
      <w:autoSpaceDE w:val="0"/>
      <w:autoSpaceDN w:val="0"/>
      <w:adjustRightInd w:val="0"/>
      <w:spacing w:before="120" w:after="60"/>
      <w:textAlignment w:val="baseline"/>
      <w:outlineLvl w:val="3"/>
    </w:pPr>
    <w:rPr>
      <w:rFonts w:ascii="Verdana" w:hAnsi="Verdana"/>
      <w:sz w:val="22"/>
      <w:szCs w:val="22"/>
      <w:u w:val="single"/>
      <w:lang w:val="en-GB"/>
    </w:rPr>
  </w:style>
  <w:style w:type="paragraph" w:styleId="Heading5">
    <w:name w:val="heading 5"/>
    <w:basedOn w:val="Normal"/>
    <w:next w:val="Normal"/>
    <w:autoRedefine/>
    <w:qFormat/>
    <w:rsid w:val="0004704B"/>
    <w:pPr>
      <w:keepNext/>
      <w:keepLines/>
      <w:numPr>
        <w:numId w:val="5"/>
      </w:numPr>
      <w:spacing w:before="120" w:after="120"/>
      <w:outlineLvl w:val="4"/>
    </w:pPr>
    <w:rPr>
      <w:rFonts w:ascii="Arial" w:hAnsi="Arial"/>
      <w:sz w:val="22"/>
      <w:szCs w:val="20"/>
      <w:u w:val="single"/>
      <w:lang w:val="en-GB"/>
    </w:rPr>
  </w:style>
  <w:style w:type="paragraph" w:styleId="Heading6">
    <w:name w:val="heading 6"/>
    <w:basedOn w:val="Normal"/>
    <w:next w:val="Normal"/>
    <w:qFormat/>
    <w:rsid w:val="00D2592E"/>
    <w:pPr>
      <w:tabs>
        <w:tab w:val="num" w:pos="0"/>
      </w:tabs>
      <w:overflowPunct w:val="0"/>
      <w:autoSpaceDE w:val="0"/>
      <w:autoSpaceDN w:val="0"/>
      <w:adjustRightInd w:val="0"/>
      <w:spacing w:before="240" w:after="60"/>
      <w:textAlignment w:val="baseline"/>
      <w:outlineLvl w:val="5"/>
    </w:pPr>
    <w:rPr>
      <w:b/>
      <w:bCs/>
      <w:sz w:val="22"/>
      <w:szCs w:val="22"/>
      <w:lang w:val="en-GB"/>
    </w:rPr>
  </w:style>
  <w:style w:type="paragraph" w:styleId="Heading7">
    <w:name w:val="heading 7"/>
    <w:basedOn w:val="Normal"/>
    <w:next w:val="Normal"/>
    <w:qFormat/>
    <w:rsid w:val="00D2592E"/>
    <w:pPr>
      <w:tabs>
        <w:tab w:val="num" w:pos="0"/>
      </w:tabs>
      <w:overflowPunct w:val="0"/>
      <w:autoSpaceDE w:val="0"/>
      <w:autoSpaceDN w:val="0"/>
      <w:adjustRightInd w:val="0"/>
      <w:spacing w:before="240" w:after="60"/>
      <w:textAlignment w:val="baseline"/>
      <w:outlineLvl w:val="6"/>
    </w:pPr>
    <w:rPr>
      <w:lang w:val="en-GB"/>
    </w:rPr>
  </w:style>
  <w:style w:type="paragraph" w:styleId="Heading8">
    <w:name w:val="heading 8"/>
    <w:basedOn w:val="Normal"/>
    <w:next w:val="Normal"/>
    <w:qFormat/>
    <w:rsid w:val="00D2592E"/>
    <w:pPr>
      <w:tabs>
        <w:tab w:val="num" w:pos="0"/>
      </w:tabs>
      <w:overflowPunct w:val="0"/>
      <w:autoSpaceDE w:val="0"/>
      <w:autoSpaceDN w:val="0"/>
      <w:adjustRightInd w:val="0"/>
      <w:spacing w:before="240" w:after="60"/>
      <w:textAlignment w:val="baseline"/>
      <w:outlineLvl w:val="7"/>
    </w:pPr>
    <w:rPr>
      <w:i/>
      <w:iCs/>
      <w:lang w:val="en-GB"/>
    </w:rPr>
  </w:style>
  <w:style w:type="paragraph" w:styleId="Heading9">
    <w:name w:val="heading 9"/>
    <w:basedOn w:val="Normal"/>
    <w:next w:val="Normal"/>
    <w:qFormat/>
    <w:rsid w:val="00D2592E"/>
    <w:pPr>
      <w:tabs>
        <w:tab w:val="num" w:pos="0"/>
      </w:tabs>
      <w:overflowPunct w:val="0"/>
      <w:autoSpaceDE w:val="0"/>
      <w:autoSpaceDN w:val="0"/>
      <w:adjustRightInd w:val="0"/>
      <w:spacing w:before="240" w:after="60"/>
      <w:textAlignment w:val="baseline"/>
      <w:outlineLvl w:val="8"/>
    </w:pPr>
    <w:rPr>
      <w:rFonts w:ascii="Verdana" w:hAnsi="Verdana"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2BC"/>
    <w:pPr>
      <w:tabs>
        <w:tab w:val="center" w:pos="4320"/>
        <w:tab w:val="right" w:pos="8640"/>
      </w:tabs>
    </w:pPr>
  </w:style>
  <w:style w:type="paragraph" w:styleId="Footer">
    <w:name w:val="footer"/>
    <w:basedOn w:val="Normal"/>
    <w:rsid w:val="007F62BC"/>
    <w:pPr>
      <w:tabs>
        <w:tab w:val="center" w:pos="4320"/>
        <w:tab w:val="right" w:pos="8640"/>
      </w:tabs>
    </w:pPr>
  </w:style>
  <w:style w:type="table" w:styleId="TableGrid">
    <w:name w:val="Table Grid"/>
    <w:basedOn w:val="TableNormal"/>
    <w:rsid w:val="007F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62BC"/>
  </w:style>
  <w:style w:type="table" w:customStyle="1" w:styleId="TableStyle1">
    <w:name w:val="Table Style1"/>
    <w:basedOn w:val="TableNormal"/>
    <w:rsid w:val="00D12F86"/>
    <w:tblPr>
      <w:tblBorders>
        <w:top w:val="single" w:sz="4" w:space="0" w:color="808080"/>
        <w:bottom w:val="single" w:sz="4" w:space="0" w:color="999999"/>
        <w:insideH w:val="single" w:sz="4" w:space="0" w:color="808080"/>
      </w:tblBorders>
    </w:tblPr>
  </w:style>
  <w:style w:type="paragraph" w:styleId="NormalIndent">
    <w:name w:val="Normal Indent"/>
    <w:basedOn w:val="Normal"/>
    <w:rsid w:val="000860BB"/>
    <w:pPr>
      <w:spacing w:after="120"/>
      <w:ind w:left="720"/>
    </w:pPr>
    <w:rPr>
      <w:rFonts w:ascii="Arial" w:hAnsi="Arial"/>
      <w:sz w:val="22"/>
      <w:szCs w:val="20"/>
      <w:lang w:val="en-GB"/>
    </w:rPr>
  </w:style>
  <w:style w:type="paragraph" w:styleId="ListBullet">
    <w:name w:val="List Bullet"/>
    <w:basedOn w:val="Normal"/>
    <w:autoRedefine/>
    <w:rsid w:val="00C64995"/>
    <w:pPr>
      <w:tabs>
        <w:tab w:val="left" w:pos="3869"/>
      </w:tabs>
      <w:spacing w:after="120"/>
    </w:pPr>
    <w:rPr>
      <w:rFonts w:ascii="Arial" w:hAnsi="Arial"/>
      <w:sz w:val="22"/>
      <w:szCs w:val="20"/>
      <w:lang w:val="en-GB"/>
    </w:rPr>
  </w:style>
  <w:style w:type="paragraph" w:customStyle="1" w:styleId="a">
    <w:name w:val="_"/>
    <w:basedOn w:val="Normal"/>
    <w:rsid w:val="002066B9"/>
    <w:pPr>
      <w:spacing w:after="120"/>
      <w:ind w:left="696" w:hanging="696"/>
    </w:pPr>
    <w:rPr>
      <w:rFonts w:ascii="Arial" w:hAnsi="Arial"/>
      <w:sz w:val="22"/>
      <w:szCs w:val="20"/>
      <w:lang w:val="en-GB"/>
    </w:rPr>
  </w:style>
  <w:style w:type="paragraph" w:styleId="ListBullet2">
    <w:name w:val="List Bullet 2"/>
    <w:basedOn w:val="Normal"/>
    <w:autoRedefine/>
    <w:rsid w:val="00122B30"/>
    <w:pPr>
      <w:numPr>
        <w:numId w:val="4"/>
      </w:numPr>
      <w:spacing w:after="120"/>
    </w:pPr>
    <w:rPr>
      <w:rFonts w:ascii="Arial" w:hAnsi="Arial"/>
      <w:sz w:val="22"/>
      <w:szCs w:val="20"/>
      <w:lang w:val="en-GB"/>
    </w:rPr>
  </w:style>
  <w:style w:type="paragraph" w:customStyle="1" w:styleId="BulletSymbol">
    <w:name w:val="Bullet (Symbol)"/>
    <w:basedOn w:val="Normal"/>
    <w:next w:val="Normal"/>
    <w:rsid w:val="00C836EA"/>
    <w:pPr>
      <w:numPr>
        <w:numId w:val="6"/>
      </w:numPr>
      <w:spacing w:before="80" w:after="80"/>
    </w:pPr>
    <w:rPr>
      <w:rFonts w:ascii="Tahoma" w:hAnsi="Tahoma"/>
      <w:sz w:val="20"/>
      <w:szCs w:val="20"/>
      <w:lang w:val="en-NZ"/>
    </w:rPr>
  </w:style>
  <w:style w:type="paragraph" w:styleId="ListBullet3">
    <w:name w:val="List Bullet 3"/>
    <w:basedOn w:val="Normal"/>
    <w:rsid w:val="006A4694"/>
    <w:pPr>
      <w:numPr>
        <w:numId w:val="12"/>
      </w:numPr>
    </w:pPr>
    <w:rPr>
      <w:rFonts w:ascii="Arial" w:hAnsi="Arial"/>
      <w:sz w:val="20"/>
    </w:rPr>
  </w:style>
  <w:style w:type="paragraph" w:styleId="DocumentMap">
    <w:name w:val="Document Map"/>
    <w:basedOn w:val="Normal"/>
    <w:semiHidden/>
    <w:rsid w:val="008377B9"/>
    <w:pPr>
      <w:shd w:val="clear" w:color="auto" w:fill="000080"/>
    </w:pPr>
    <w:rPr>
      <w:rFonts w:ascii="Tahoma" w:hAnsi="Tahoma" w:cs="Tahoma"/>
      <w:sz w:val="20"/>
      <w:szCs w:val="20"/>
    </w:rPr>
  </w:style>
  <w:style w:type="character" w:customStyle="1" w:styleId="Heading3Char">
    <w:name w:val="Heading 3 Char"/>
    <w:aliases w:val="Section Char,(Appendix Nbr) Char,Level 1 - 1 Char,Heading 3 Char Char Char"/>
    <w:link w:val="Heading3"/>
    <w:locked/>
    <w:rsid w:val="00786BF3"/>
    <w:rPr>
      <w:rFonts w:ascii="Arial" w:hAnsi="Arial" w:cs="Arial"/>
      <w:b/>
      <w:bCs/>
      <w:sz w:val="26"/>
      <w:szCs w:val="26"/>
      <w:lang w:val="en-US"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6328">
      <w:bodyDiv w:val="1"/>
      <w:marLeft w:val="0"/>
      <w:marRight w:val="0"/>
      <w:marTop w:val="0"/>
      <w:marBottom w:val="0"/>
      <w:divBdr>
        <w:top w:val="none" w:sz="0" w:space="0" w:color="auto"/>
        <w:left w:val="none" w:sz="0" w:space="0" w:color="auto"/>
        <w:bottom w:val="none" w:sz="0" w:space="0" w:color="auto"/>
        <w:right w:val="none" w:sz="0" w:space="0" w:color="auto"/>
      </w:divBdr>
    </w:div>
    <w:div w:id="160587133">
      <w:bodyDiv w:val="1"/>
      <w:marLeft w:val="0"/>
      <w:marRight w:val="0"/>
      <w:marTop w:val="0"/>
      <w:marBottom w:val="0"/>
      <w:divBdr>
        <w:top w:val="none" w:sz="0" w:space="0" w:color="auto"/>
        <w:left w:val="none" w:sz="0" w:space="0" w:color="auto"/>
        <w:bottom w:val="none" w:sz="0" w:space="0" w:color="auto"/>
        <w:right w:val="none" w:sz="0" w:space="0" w:color="auto"/>
      </w:divBdr>
    </w:div>
    <w:div w:id="178344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Hr%20Div\New%20HR\Position%20Descriptions\PD-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f9992a-f9a2-4005-8dd6-337693557d1a">
      <Terms xmlns="http://schemas.microsoft.com/office/infopath/2007/PartnerControls"/>
    </lcf76f155ced4ddcb4097134ff3c332f>
    <TaxCatchAll xmlns="9340bb95-2a86-4201-a9f8-eb77e47ad5c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0EFABCCD0EFA4FBF7F0ABB6E2A5F86" ma:contentTypeVersion="18" ma:contentTypeDescription="Create a new document." ma:contentTypeScope="" ma:versionID="121c0d95f587b2346caecd958d11a08f">
  <xsd:schema xmlns:xsd="http://www.w3.org/2001/XMLSchema" xmlns:xs="http://www.w3.org/2001/XMLSchema" xmlns:p="http://schemas.microsoft.com/office/2006/metadata/properties" xmlns:ns2="9ff9992a-f9a2-4005-8dd6-337693557d1a" xmlns:ns3="79c85dc0-afa9-467a-9b4d-92de4d047698" xmlns:ns4="9340bb95-2a86-4201-a9f8-eb77e47ad5c3" targetNamespace="http://schemas.microsoft.com/office/2006/metadata/properties" ma:root="true" ma:fieldsID="abed867330717c04eb5a49ff840b7a99" ns2:_="" ns3:_="" ns4:_="">
    <xsd:import namespace="9ff9992a-f9a2-4005-8dd6-337693557d1a"/>
    <xsd:import namespace="79c85dc0-afa9-467a-9b4d-92de4d047698"/>
    <xsd:import namespace="9340bb95-2a86-4201-a9f8-eb77e47ad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9992a-f9a2-4005-8dd6-337693557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0a4628-3fb5-4281-b165-1d6faf676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85dc0-afa9-467a-9b4d-92de4d0476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0bb95-2a86-4201-a9f8-eb77e47ad5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d5b8ac-1677-4a1e-a653-0cb473d8c0f9}" ma:internalName="TaxCatchAll" ma:showField="CatchAllData" ma:web="79c85dc0-afa9-467a-9b4d-92de4d047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636410-D242-449E-873F-2137D1B675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2CD195-6D23-46ED-B74A-8C3DB3DB1A71}">
  <ds:schemaRefs>
    <ds:schemaRef ds:uri="http://schemas.microsoft.com/office/2006/metadata/longProperties"/>
  </ds:schemaRefs>
</ds:datastoreItem>
</file>

<file path=customXml/itemProps3.xml><?xml version="1.0" encoding="utf-8"?>
<ds:datastoreItem xmlns:ds="http://schemas.openxmlformats.org/officeDocument/2006/customXml" ds:itemID="{AB153E91-B8A4-45AD-B877-221E6429AC50}">
  <ds:schemaRefs>
    <ds:schemaRef ds:uri="http://schemas.microsoft.com/sharepoint/v3/contenttype/forms"/>
  </ds:schemaRefs>
</ds:datastoreItem>
</file>

<file path=customXml/itemProps4.xml><?xml version="1.0" encoding="utf-8"?>
<ds:datastoreItem xmlns:ds="http://schemas.openxmlformats.org/officeDocument/2006/customXml" ds:itemID="{A2B2D6A6-677F-4E2F-8BB0-CFD3E288B623}"/>
</file>

<file path=docMetadata/LabelInfo.xml><?xml version="1.0" encoding="utf-8"?>
<clbl:labelList xmlns:clbl="http://schemas.microsoft.com/office/2020/mipLabelMetadata">
  <clbl:label id="{44fa37d5-109f-4de8-9f00-0293357f239a}" enabled="0" method="" siteId="{44fa37d5-109f-4de8-9f00-0293357f239a}" removed="1"/>
</clbl:labelList>
</file>

<file path=docProps/app.xml><?xml version="1.0" encoding="utf-8"?>
<Properties xmlns="http://schemas.openxmlformats.org/officeDocument/2006/extended-properties" xmlns:vt="http://schemas.openxmlformats.org/officeDocument/2006/docPropsVTypes">
  <Template>PD-template (2)</Template>
  <TotalTime>2</TotalTime>
  <Pages>7</Pages>
  <Words>1908</Words>
  <Characters>11433</Characters>
  <Application>Microsoft Office Word</Application>
  <DocSecurity>0</DocSecurity>
  <Lines>457</Lines>
  <Paragraphs>272</Paragraphs>
  <ScaleCrop>false</ScaleCrop>
  <Company>FMG</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Development &amp; Support Manager</dc:title>
  <dc:subject/>
  <dc:creator>fmghmm1</dc:creator>
  <cp:keywords/>
  <cp:lastModifiedBy>Courtney Farrer</cp:lastModifiedBy>
  <cp:revision>41</cp:revision>
  <cp:lastPrinted>2011-08-03T21:40:00Z</cp:lastPrinted>
  <dcterms:created xsi:type="dcterms:W3CDTF">2026-02-20T21:20:00Z</dcterms:created>
  <dcterms:modified xsi:type="dcterms:W3CDTF">2026-03-12T22:58:00Z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Craig Skett</vt:lpwstr>
  </property>
  <property fmtid="{D5CDD505-2E9C-101B-9397-08002B2CF9AE}" pid="3" name="display_urn:schemas-microsoft-com:office:office#Author">
    <vt:lpwstr>Sharegate Service Account (O365 project)</vt:lpwstr>
  </property>
  <property fmtid="{D5CDD505-2E9C-101B-9397-08002B2CF9AE}" pid="4" name="ContentTypeId">
    <vt:lpwstr>0x010100E80EFABCCD0EFA4FBF7F0ABB6E2A5F86</vt:lpwstr>
  </property>
  <property fmtid="{D5CDD505-2E9C-101B-9397-08002B2CF9AE}" pid="5" name="docLang">
    <vt:lpwstr>en</vt:lpwstr>
  </property>
</Properties>
</file>